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BC7C">
      <w:pPr>
        <w:snapToGrid w:val="0"/>
        <w:spacing w:line="288" w:lineRule="auto"/>
        <w:jc w:val="center"/>
        <w:outlineLvl w:val="0"/>
        <w:rPr>
          <w:rFonts w:ascii="Arial" w:hAnsi="Arial" w:eastAsia="华文中宋" w:cs="Arial"/>
          <w:color w:val="000000"/>
          <w:w w:val="80"/>
          <w:sz w:val="36"/>
        </w:rPr>
      </w:pPr>
      <w:bookmarkStart w:id="0" w:name="_Toc30008"/>
      <w:r>
        <w:rPr>
          <w:rFonts w:ascii="Arial" w:hAnsi="Arial" w:eastAsia="华文中宋" w:cs="Arial"/>
          <w:color w:val="000000"/>
          <w:w w:val="80"/>
          <w:sz w:val="36"/>
        </w:rPr>
        <w:t>上海海洋大学研究生优秀毕业生评选细则</w:t>
      </w:r>
      <w:bookmarkEnd w:id="0"/>
    </w:p>
    <w:p w14:paraId="303F624A">
      <w:pPr>
        <w:snapToGrid w:val="0"/>
        <w:spacing w:line="288" w:lineRule="auto"/>
        <w:jc w:val="center"/>
        <w:rPr>
          <w:rFonts w:ascii="Arial" w:hAnsi="Arial" w:cs="Arial"/>
          <w:color w:val="000000"/>
          <w:sz w:val="24"/>
          <w:szCs w:val="24"/>
        </w:rPr>
      </w:pPr>
    </w:p>
    <w:p w14:paraId="1E326EEF">
      <w:pPr>
        <w:snapToGrid w:val="0"/>
        <w:spacing w:line="288" w:lineRule="auto"/>
        <w:ind w:firstLine="420" w:firstLineChars="200"/>
        <w:rPr>
          <w:rFonts w:ascii="Arial" w:hAnsi="Arial" w:cs="Arial"/>
          <w:color w:val="000000"/>
          <w:szCs w:val="21"/>
        </w:rPr>
      </w:pPr>
      <w:r>
        <w:rPr>
          <w:rFonts w:ascii="Arial" w:hAnsi="Arial" w:cs="Arial"/>
          <w:color w:val="000000"/>
          <w:szCs w:val="21"/>
        </w:rPr>
        <w:t>为激励我校研究生在校期间刻苦钻研，把自己塑造成政治觉悟高、业务素质好、实践能力强的创新型高级人才，特制定上海海洋大学优秀毕业研究生评选细则如下：</w:t>
      </w:r>
    </w:p>
    <w:p w14:paraId="70569D37">
      <w:pPr>
        <w:snapToGrid w:val="0"/>
        <w:spacing w:line="288" w:lineRule="auto"/>
        <w:ind w:firstLine="420" w:firstLineChars="200"/>
        <w:outlineLvl w:val="0"/>
        <w:rPr>
          <w:rFonts w:ascii="Arial" w:hAnsi="Arial" w:eastAsia="黑体" w:cs="Arial"/>
          <w:color w:val="000000"/>
          <w:szCs w:val="21"/>
        </w:rPr>
      </w:pPr>
      <w:bookmarkStart w:id="1" w:name="_Toc2475"/>
      <w:r>
        <w:rPr>
          <w:rFonts w:ascii="Arial" w:hAnsi="Arial" w:eastAsia="黑体" w:cs="Arial"/>
          <w:color w:val="000000"/>
          <w:szCs w:val="21"/>
        </w:rPr>
        <w:t>一、评选项目</w:t>
      </w:r>
      <w:bookmarkEnd w:id="1"/>
    </w:p>
    <w:p w14:paraId="67D45CD3">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上海市优秀毕业生、校优秀毕业生。</w:t>
      </w:r>
    </w:p>
    <w:p w14:paraId="5785B3BB">
      <w:pPr>
        <w:snapToGrid w:val="0"/>
        <w:spacing w:line="288" w:lineRule="auto"/>
        <w:ind w:firstLine="420" w:firstLineChars="200"/>
        <w:outlineLvl w:val="0"/>
        <w:rPr>
          <w:rFonts w:ascii="Arial" w:hAnsi="Arial" w:eastAsia="黑体" w:cs="Arial"/>
          <w:color w:val="000000"/>
          <w:szCs w:val="21"/>
        </w:rPr>
      </w:pPr>
      <w:bookmarkStart w:id="2" w:name="_Toc24911"/>
      <w:r>
        <w:rPr>
          <w:rFonts w:ascii="Arial" w:hAnsi="Arial" w:eastAsia="黑体" w:cs="Arial"/>
          <w:color w:val="000000"/>
          <w:szCs w:val="21"/>
        </w:rPr>
        <w:t>二、评选范围</w:t>
      </w:r>
      <w:bookmarkEnd w:id="2"/>
    </w:p>
    <w:p w14:paraId="640409C8">
      <w:pPr>
        <w:snapToGrid w:val="0"/>
        <w:spacing w:line="288" w:lineRule="auto"/>
        <w:ind w:firstLine="420" w:firstLineChars="200"/>
        <w:rPr>
          <w:rFonts w:ascii="Arial" w:hAnsi="Arial" w:cs="Arial"/>
          <w:color w:val="000000"/>
          <w:szCs w:val="21"/>
        </w:rPr>
      </w:pPr>
      <w:r>
        <w:rPr>
          <w:rFonts w:ascii="Arial" w:hAnsi="Arial" w:cs="Arial"/>
          <w:color w:val="000000"/>
          <w:szCs w:val="21"/>
        </w:rPr>
        <w:t>应届毕业研究生，不包括延长学习年限的研究生。</w:t>
      </w:r>
    </w:p>
    <w:p w14:paraId="62308D95">
      <w:pPr>
        <w:snapToGrid w:val="0"/>
        <w:spacing w:line="288" w:lineRule="auto"/>
        <w:ind w:firstLine="420" w:firstLineChars="200"/>
        <w:outlineLvl w:val="0"/>
        <w:rPr>
          <w:rFonts w:ascii="Arial" w:hAnsi="Arial" w:eastAsia="黑体" w:cs="Arial"/>
          <w:color w:val="000000"/>
          <w:szCs w:val="21"/>
        </w:rPr>
      </w:pPr>
      <w:bookmarkStart w:id="3" w:name="_Toc6298"/>
      <w:r>
        <w:rPr>
          <w:rFonts w:ascii="Arial" w:hAnsi="Arial" w:eastAsia="黑体" w:cs="Arial"/>
          <w:color w:val="000000"/>
          <w:szCs w:val="21"/>
        </w:rPr>
        <w:t>三、评选比例</w:t>
      </w:r>
      <w:bookmarkEnd w:id="3"/>
    </w:p>
    <w:p w14:paraId="4A2FF570">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上海市优秀毕业生的评选比例不超过毕业研究生人数的5%，校优秀毕业研究生的评选比例不超过毕业研究生人数的10%。如有变动，以当年上级文件为准。</w:t>
      </w:r>
    </w:p>
    <w:p w14:paraId="7ACE2F4F">
      <w:pPr>
        <w:snapToGrid w:val="0"/>
        <w:spacing w:line="288" w:lineRule="auto"/>
        <w:ind w:firstLine="420" w:firstLineChars="200"/>
        <w:outlineLvl w:val="0"/>
        <w:rPr>
          <w:rFonts w:ascii="Arial" w:hAnsi="Arial" w:eastAsia="黑体" w:cs="Arial"/>
          <w:color w:val="000000"/>
          <w:szCs w:val="21"/>
        </w:rPr>
      </w:pPr>
      <w:bookmarkStart w:id="4" w:name="_Toc131"/>
      <w:r>
        <w:rPr>
          <w:rFonts w:ascii="Arial" w:hAnsi="Arial" w:eastAsia="黑体" w:cs="Arial"/>
          <w:color w:val="000000"/>
          <w:szCs w:val="21"/>
        </w:rPr>
        <w:t>四、评选条件</w:t>
      </w:r>
      <w:bookmarkEnd w:id="4"/>
    </w:p>
    <w:p w14:paraId="4DEBA6C6">
      <w:pPr>
        <w:snapToGrid w:val="0"/>
        <w:spacing w:line="288" w:lineRule="auto"/>
        <w:ind w:firstLine="420" w:firstLineChars="200"/>
        <w:rPr>
          <w:rFonts w:ascii="Arial" w:hAnsi="Arial" w:cs="Arial"/>
          <w:color w:val="000000"/>
          <w:szCs w:val="21"/>
        </w:rPr>
      </w:pPr>
      <w:r>
        <w:rPr>
          <w:rFonts w:ascii="Arial" w:hAnsi="Arial" w:cs="Arial"/>
          <w:color w:val="000000"/>
          <w:szCs w:val="21"/>
        </w:rPr>
        <w:t>1.校优秀毕业研究生</w:t>
      </w:r>
    </w:p>
    <w:p w14:paraId="6365EC40">
      <w:pPr>
        <w:snapToGrid w:val="0"/>
        <w:spacing w:line="288" w:lineRule="auto"/>
        <w:ind w:firstLine="420" w:firstLineChars="200"/>
        <w:rPr>
          <w:rFonts w:ascii="Arial" w:hAnsi="Arial" w:cs="Arial"/>
          <w:color w:val="000000"/>
          <w:szCs w:val="21"/>
        </w:rPr>
      </w:pPr>
      <w:r>
        <w:rPr>
          <w:rFonts w:ascii="Arial" w:hAnsi="Arial" w:cs="Arial"/>
          <w:color w:val="000000"/>
          <w:szCs w:val="21"/>
        </w:rPr>
        <w:t>（1）遵守国家法律法规和学校规章制度，热爱祖国、关心集体，尊敬师长、团结同学，乐于助人，有良好的品德修养。综合表现突出，在同学中有一定的威信；</w:t>
      </w:r>
    </w:p>
    <w:p w14:paraId="45A0EC13">
      <w:pPr>
        <w:snapToGrid w:val="0"/>
        <w:spacing w:line="288" w:lineRule="auto"/>
        <w:ind w:firstLine="420" w:firstLineChars="200"/>
        <w:rPr>
          <w:rFonts w:ascii="Arial" w:hAnsi="Arial" w:cs="Arial"/>
          <w:color w:val="000000"/>
          <w:szCs w:val="21"/>
        </w:rPr>
      </w:pPr>
      <w:r>
        <w:rPr>
          <w:rFonts w:ascii="Arial" w:hAnsi="Arial" w:cs="Arial"/>
          <w:color w:val="000000"/>
          <w:szCs w:val="21"/>
        </w:rPr>
        <w:t>（2）诚信意识较强和学术道德良好，无不良信用记录；</w:t>
      </w:r>
    </w:p>
    <w:p w14:paraId="64F55362">
      <w:pPr>
        <w:snapToGrid w:val="0"/>
        <w:spacing w:line="288" w:lineRule="auto"/>
        <w:ind w:firstLine="420" w:firstLineChars="200"/>
        <w:rPr>
          <w:rFonts w:ascii="Arial" w:hAnsi="Arial" w:cs="Arial"/>
          <w:color w:val="000000"/>
          <w:szCs w:val="21"/>
        </w:rPr>
      </w:pPr>
      <w:r>
        <w:rPr>
          <w:rFonts w:ascii="Arial" w:hAnsi="Arial" w:cs="Arial"/>
          <w:color w:val="000000"/>
          <w:szCs w:val="21"/>
        </w:rPr>
        <w:t>（3）积极参与校、院各项活动及各类社会实践活动；</w:t>
      </w:r>
    </w:p>
    <w:p w14:paraId="2A3CE810">
      <w:pPr>
        <w:snapToGrid w:val="0"/>
        <w:spacing w:line="288" w:lineRule="auto"/>
        <w:ind w:firstLine="420" w:firstLineChars="200"/>
        <w:rPr>
          <w:rFonts w:ascii="Arial" w:hAnsi="Arial" w:cs="Arial"/>
          <w:color w:val="000000"/>
          <w:szCs w:val="21"/>
        </w:rPr>
      </w:pPr>
      <w:r>
        <w:rPr>
          <w:rFonts w:ascii="Arial" w:hAnsi="Arial" w:cs="Arial"/>
          <w:color w:val="000000"/>
          <w:szCs w:val="21"/>
        </w:rPr>
        <w:t>（4）按期完成各培养环节，成绩优良，且课程没有补考记录；</w:t>
      </w:r>
    </w:p>
    <w:p w14:paraId="366547C7">
      <w:pPr>
        <w:snapToGrid w:val="0"/>
        <w:spacing w:line="288" w:lineRule="auto"/>
        <w:ind w:firstLine="420" w:firstLineChars="200"/>
        <w:rPr>
          <w:rFonts w:ascii="Arial" w:hAnsi="Arial" w:cs="Arial"/>
          <w:color w:val="000000"/>
          <w:szCs w:val="21"/>
        </w:rPr>
      </w:pPr>
      <w:r>
        <w:rPr>
          <w:rFonts w:ascii="Arial" w:hAnsi="Arial" w:cs="Arial"/>
          <w:color w:val="000000"/>
          <w:szCs w:val="21"/>
        </w:rPr>
        <w:t>（5）</w:t>
      </w:r>
      <w:r>
        <w:rPr>
          <w:rFonts w:ascii="Arial" w:hAnsi="Arial" w:cs="Arial"/>
          <w:color w:val="000000"/>
          <w:szCs w:val="21"/>
          <w:highlight w:val="none"/>
        </w:rPr>
        <w:t>在研二及以上年级，必须至</w:t>
      </w:r>
      <w:r>
        <w:rPr>
          <w:rFonts w:ascii="Arial" w:hAnsi="Arial" w:cs="Arial"/>
          <w:color w:val="000000"/>
          <w:szCs w:val="21"/>
        </w:rPr>
        <w:t>少获得过一次二等及以上研究生学业奖学金，科研创新或专业实践能力突出，具体认定标准由学院制定；</w:t>
      </w:r>
    </w:p>
    <w:p w14:paraId="02925864">
      <w:pPr>
        <w:snapToGrid w:val="0"/>
        <w:spacing w:line="288" w:lineRule="auto"/>
        <w:ind w:firstLine="420" w:firstLineChars="200"/>
        <w:rPr>
          <w:rFonts w:ascii="Arial" w:hAnsi="Arial" w:cs="Arial"/>
          <w:color w:val="000000"/>
          <w:szCs w:val="21"/>
        </w:rPr>
      </w:pPr>
      <w:r>
        <w:rPr>
          <w:rFonts w:ascii="Arial" w:hAnsi="Arial" w:cs="Arial"/>
          <w:color w:val="000000"/>
          <w:szCs w:val="21"/>
        </w:rPr>
        <w:t>（6）正确对待国家需要和毕业生就业工作，自愿响应国家号召主动奔赴欠发达地区和艰苦行业就业的毕业生在同等条件下优先推荐。</w:t>
      </w:r>
    </w:p>
    <w:p w14:paraId="697220AB">
      <w:pPr>
        <w:snapToGrid w:val="0"/>
        <w:spacing w:line="288" w:lineRule="auto"/>
        <w:ind w:firstLine="420" w:firstLineChars="200"/>
        <w:rPr>
          <w:rFonts w:ascii="Arial" w:hAnsi="Arial" w:cs="Arial"/>
          <w:color w:val="000000"/>
          <w:szCs w:val="21"/>
        </w:rPr>
      </w:pPr>
      <w:r>
        <w:rPr>
          <w:rFonts w:ascii="Arial" w:hAnsi="Arial" w:cs="Arial"/>
          <w:color w:val="000000"/>
          <w:szCs w:val="21"/>
        </w:rPr>
        <w:t>2.市优秀毕业生</w:t>
      </w:r>
    </w:p>
    <w:p w14:paraId="62AA694B">
      <w:pPr>
        <w:snapToGrid w:val="0"/>
        <w:spacing w:line="288" w:lineRule="auto"/>
        <w:ind w:firstLine="420" w:firstLineChars="200"/>
        <w:rPr>
          <w:rFonts w:ascii="Arial" w:hAnsi="Arial" w:cs="Arial"/>
          <w:color w:val="000000"/>
          <w:szCs w:val="21"/>
        </w:rPr>
      </w:pPr>
      <w:r>
        <w:rPr>
          <w:rFonts w:ascii="Arial" w:hAnsi="Arial" w:cs="Arial"/>
          <w:color w:val="000000"/>
          <w:szCs w:val="21"/>
        </w:rPr>
        <w:t>（1）市优秀毕业生必须满足校优秀毕业生的评选条件；</w:t>
      </w:r>
    </w:p>
    <w:p w14:paraId="572CD824">
      <w:pPr>
        <w:snapToGrid w:val="0"/>
        <w:spacing w:line="288" w:lineRule="auto"/>
        <w:ind w:firstLine="420" w:firstLineChars="200"/>
        <w:rPr>
          <w:rFonts w:ascii="Arial" w:hAnsi="Arial" w:cs="Arial"/>
          <w:color w:val="000000"/>
          <w:szCs w:val="21"/>
        </w:rPr>
      </w:pPr>
      <w:r>
        <w:rPr>
          <w:rFonts w:ascii="Arial" w:hAnsi="Arial" w:cs="Arial"/>
          <w:color w:val="000000"/>
          <w:szCs w:val="21"/>
        </w:rPr>
        <w:t>（2）非定向研究生在研二及以上年级，必须至少获得过一次二等及以上研究生学业奖学金，并取得以下成果之一；定向研究生须取得以下成果之二：</w:t>
      </w:r>
    </w:p>
    <w:p w14:paraId="34C25CF6">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①</w:t>
      </w:r>
      <w:r>
        <w:rPr>
          <w:rFonts w:ascii="Arial" w:hAnsi="Arial" w:cs="Arial"/>
          <w:color w:val="000000"/>
          <w:szCs w:val="21"/>
        </w:rPr>
        <w:t>硕士生在</w:t>
      </w:r>
      <w:r>
        <w:rPr>
          <w:rFonts w:ascii="Arial" w:hAnsi="Arial" w:cs="Arial"/>
          <w:szCs w:val="21"/>
        </w:rPr>
        <w:t>SCI、SSCI、EI、ISTP、CSCD、CSSCI核心库</w:t>
      </w:r>
      <w:r>
        <w:rPr>
          <w:rFonts w:ascii="Arial" w:hAnsi="Arial" w:cs="Arial"/>
          <w:color w:val="000000"/>
          <w:szCs w:val="21"/>
        </w:rPr>
        <w:t>收录期刊中公开发表与学位论文内容相关的研究论文。博士生除申请学位发表论文的基本要求外还须在SCI、SSCI、EI、ISTP、CSCD、CSSCI核心库收录期刊中公开发表</w:t>
      </w:r>
      <w:r>
        <w:rPr>
          <w:rFonts w:ascii="Arial" w:hAnsi="Arial" w:cs="Arial"/>
          <w:szCs w:val="21"/>
        </w:rPr>
        <w:t>1篇</w:t>
      </w:r>
      <w:r>
        <w:rPr>
          <w:rFonts w:ascii="Arial" w:hAnsi="Arial" w:cs="Arial"/>
          <w:color w:val="000000"/>
          <w:szCs w:val="21"/>
        </w:rPr>
        <w:t>与学位论文内容相关的研究论文。所有发表论文署名须为第一作者或导师为首的第二作者。所有发表论文须以上海海洋大学的名义，或将上海海洋大学与联合培养单位名称并列；</w:t>
      </w:r>
    </w:p>
    <w:p w14:paraId="06416A4F">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②</w:t>
      </w:r>
      <w:r>
        <w:rPr>
          <w:rFonts w:ascii="Arial" w:hAnsi="Arial" w:cs="Arial"/>
          <w:color w:val="000000"/>
          <w:szCs w:val="21"/>
        </w:rPr>
        <w:t>获得署名在前五名（含）的省部级二等（含）以上科技成果奖；</w:t>
      </w:r>
    </w:p>
    <w:p w14:paraId="3E07BE97">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③</w:t>
      </w:r>
      <w:r>
        <w:rPr>
          <w:rFonts w:ascii="Arial" w:hAnsi="Arial" w:cs="Arial"/>
          <w:color w:val="000000"/>
          <w:szCs w:val="21"/>
        </w:rPr>
        <w:t>获得署名在前两名（含）的校级科技成果奖；</w:t>
      </w:r>
    </w:p>
    <w:p w14:paraId="353DDC94">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④</w:t>
      </w:r>
      <w:r>
        <w:rPr>
          <w:rFonts w:ascii="Arial" w:hAnsi="Arial" w:cs="Arial"/>
          <w:color w:val="000000"/>
          <w:szCs w:val="21"/>
        </w:rPr>
        <w:t>获与专业相关的发明专利的第一发明人或者设计人（或以导师为首的第二发明人或者设计人）。</w:t>
      </w:r>
    </w:p>
    <w:p w14:paraId="26559BE2">
      <w:pPr>
        <w:snapToGrid w:val="0"/>
        <w:spacing w:line="288" w:lineRule="auto"/>
        <w:ind w:firstLine="420" w:firstLineChars="200"/>
        <w:outlineLvl w:val="0"/>
        <w:rPr>
          <w:rFonts w:ascii="Arial" w:hAnsi="Arial" w:eastAsia="黑体" w:cs="Arial"/>
          <w:color w:val="000000"/>
          <w:szCs w:val="21"/>
        </w:rPr>
      </w:pPr>
      <w:bookmarkStart w:id="5" w:name="_Toc1564"/>
      <w:r>
        <w:rPr>
          <w:rFonts w:ascii="Arial" w:hAnsi="Arial" w:eastAsia="黑体" w:cs="Arial"/>
          <w:color w:val="000000"/>
          <w:szCs w:val="21"/>
        </w:rPr>
        <w:t>五、评选时间</w:t>
      </w:r>
      <w:bookmarkEnd w:id="5"/>
    </w:p>
    <w:p w14:paraId="7B2D3C75">
      <w:pPr>
        <w:snapToGrid w:val="0"/>
        <w:spacing w:line="288" w:lineRule="auto"/>
        <w:ind w:firstLine="420" w:firstLineChars="200"/>
        <w:rPr>
          <w:rFonts w:ascii="Arial" w:hAnsi="Arial" w:cs="Arial"/>
          <w:color w:val="000000"/>
          <w:szCs w:val="21"/>
        </w:rPr>
      </w:pPr>
      <w:r>
        <w:rPr>
          <w:rFonts w:ascii="Arial" w:hAnsi="Arial" w:cs="Arial"/>
          <w:color w:val="000000"/>
          <w:szCs w:val="21"/>
        </w:rPr>
        <w:t>优秀毕业研究生每学年评选一次，每次申请时间在毕业前三个月。</w:t>
      </w:r>
    </w:p>
    <w:p w14:paraId="11321352">
      <w:pPr>
        <w:snapToGrid w:val="0"/>
        <w:spacing w:line="288" w:lineRule="auto"/>
        <w:ind w:firstLine="420" w:firstLineChars="200"/>
        <w:outlineLvl w:val="0"/>
        <w:rPr>
          <w:rFonts w:ascii="Arial" w:hAnsi="Arial" w:eastAsia="黑体" w:cs="Arial"/>
          <w:color w:val="000000"/>
          <w:szCs w:val="21"/>
        </w:rPr>
      </w:pPr>
      <w:bookmarkStart w:id="6" w:name="_Toc18761"/>
      <w:r>
        <w:rPr>
          <w:rFonts w:ascii="Arial" w:hAnsi="Arial" w:eastAsia="黑体" w:cs="Arial"/>
          <w:color w:val="000000"/>
          <w:szCs w:val="21"/>
        </w:rPr>
        <w:t>六、评选办法</w:t>
      </w:r>
      <w:bookmarkEnd w:id="6"/>
    </w:p>
    <w:p w14:paraId="1E3B1EA7">
      <w:pPr>
        <w:snapToGrid w:val="0"/>
        <w:spacing w:line="288" w:lineRule="auto"/>
        <w:ind w:firstLine="420" w:firstLineChars="200"/>
        <w:rPr>
          <w:rFonts w:ascii="Arial" w:hAnsi="Arial" w:cs="Arial"/>
          <w:color w:val="000000"/>
          <w:szCs w:val="21"/>
        </w:rPr>
      </w:pPr>
      <w:r>
        <w:rPr>
          <w:rFonts w:ascii="Arial" w:hAnsi="Arial" w:cs="Arial"/>
          <w:color w:val="000000"/>
          <w:szCs w:val="21"/>
        </w:rPr>
        <w:t>1.申报：毕业生提出申请。</w:t>
      </w:r>
    </w:p>
    <w:p w14:paraId="2F86240D">
      <w:pPr>
        <w:snapToGrid w:val="0"/>
        <w:spacing w:line="288" w:lineRule="auto"/>
        <w:ind w:firstLine="420" w:firstLineChars="200"/>
        <w:rPr>
          <w:rFonts w:ascii="Arial" w:hAnsi="Arial" w:cs="Arial"/>
          <w:color w:val="000000"/>
          <w:szCs w:val="21"/>
        </w:rPr>
      </w:pPr>
      <w:r>
        <w:rPr>
          <w:rFonts w:ascii="Arial" w:hAnsi="Arial" w:cs="Arial"/>
          <w:color w:val="000000"/>
          <w:szCs w:val="21"/>
        </w:rPr>
        <w:t>2.初审：各学院党委书记（任组长）、主管研究生的院长、辅导员等组成评选工作小组，拟定本学院校优秀毕业生名单，报研究生院初审后，学院进行预公示。</w:t>
      </w:r>
    </w:p>
    <w:p w14:paraId="21A4020D">
      <w:pPr>
        <w:snapToGrid w:val="0"/>
        <w:spacing w:line="288" w:lineRule="auto"/>
        <w:ind w:firstLine="420" w:firstLineChars="200"/>
        <w:rPr>
          <w:rFonts w:ascii="Arial" w:hAnsi="Arial" w:cs="Arial"/>
          <w:color w:val="000000"/>
          <w:szCs w:val="21"/>
        </w:rPr>
      </w:pPr>
      <w:r>
        <w:rPr>
          <w:rFonts w:ascii="Arial" w:hAnsi="Arial" w:cs="Arial"/>
          <w:color w:val="000000"/>
          <w:szCs w:val="21"/>
        </w:rPr>
        <w:t>3.公示：研究生院在全校公示无异议后报学校批准，公布校优秀毕业研究生名单，并按分配名额向上海市教育委员会择优推荐市优秀毕业生。</w:t>
      </w:r>
    </w:p>
    <w:p w14:paraId="0F2A17C6">
      <w:pPr>
        <w:snapToGrid w:val="0"/>
        <w:spacing w:line="288" w:lineRule="auto"/>
        <w:ind w:firstLine="420" w:firstLineChars="200"/>
        <w:rPr>
          <w:rFonts w:ascii="Arial" w:hAnsi="Arial" w:cs="Arial"/>
          <w:color w:val="000000"/>
          <w:szCs w:val="21"/>
        </w:rPr>
      </w:pPr>
      <w:r>
        <w:rPr>
          <w:rFonts w:ascii="Arial" w:hAnsi="Arial" w:cs="Arial"/>
          <w:color w:val="000000"/>
          <w:szCs w:val="21"/>
        </w:rPr>
        <w:t>4.报批：上海市教育委员会审批确定市优秀毕业生名单。</w:t>
      </w:r>
    </w:p>
    <w:p w14:paraId="4555435B">
      <w:pPr>
        <w:snapToGrid w:val="0"/>
        <w:spacing w:line="288" w:lineRule="auto"/>
        <w:ind w:firstLine="420" w:firstLineChars="200"/>
        <w:outlineLvl w:val="0"/>
        <w:rPr>
          <w:rFonts w:ascii="Arial" w:hAnsi="Arial" w:eastAsia="黑体" w:cs="Arial"/>
          <w:color w:val="000000"/>
          <w:szCs w:val="21"/>
        </w:rPr>
      </w:pPr>
      <w:bookmarkStart w:id="7" w:name="_Toc8197"/>
      <w:r>
        <w:rPr>
          <w:rFonts w:ascii="Arial" w:hAnsi="Arial" w:eastAsia="黑体" w:cs="Arial"/>
          <w:color w:val="000000"/>
          <w:szCs w:val="21"/>
        </w:rPr>
        <w:t>七、表彰</w:t>
      </w:r>
      <w:bookmarkEnd w:id="7"/>
    </w:p>
    <w:p w14:paraId="58F2A5A5">
      <w:pPr>
        <w:snapToGrid w:val="0"/>
        <w:spacing w:line="288" w:lineRule="auto"/>
        <w:ind w:firstLine="420" w:firstLineChars="200"/>
        <w:rPr>
          <w:rFonts w:ascii="Arial" w:hAnsi="Arial" w:cs="Arial"/>
          <w:color w:val="000000"/>
          <w:szCs w:val="21"/>
        </w:rPr>
      </w:pPr>
      <w:r>
        <w:rPr>
          <w:rFonts w:ascii="Arial" w:hAnsi="Arial" w:cs="Arial"/>
          <w:color w:val="000000"/>
          <w:szCs w:val="21"/>
        </w:rPr>
        <w:t>1.优秀毕业研究生是荣誉称号，学校发文公布校、市优秀毕业生名单，并颁发荣誉证书。</w:t>
      </w:r>
    </w:p>
    <w:p w14:paraId="5CBECD32">
      <w:pPr>
        <w:snapToGrid w:val="0"/>
        <w:spacing w:line="288" w:lineRule="auto"/>
        <w:ind w:firstLine="420" w:firstLineChars="200"/>
        <w:rPr>
          <w:rFonts w:ascii="Arial" w:hAnsi="Arial" w:cs="Arial"/>
          <w:color w:val="000000"/>
          <w:szCs w:val="21"/>
        </w:rPr>
      </w:pPr>
      <w:r>
        <w:rPr>
          <w:rFonts w:ascii="Arial" w:hAnsi="Arial" w:cs="Arial"/>
          <w:color w:val="000000"/>
          <w:szCs w:val="21"/>
        </w:rPr>
        <w:t>2.研究生院将获奖毕业生的荣誉登记表，存入本人档案。</w:t>
      </w:r>
    </w:p>
    <w:p w14:paraId="27452368">
      <w:pPr>
        <w:snapToGrid w:val="0"/>
        <w:spacing w:line="288" w:lineRule="auto"/>
        <w:ind w:firstLine="420" w:firstLineChars="200"/>
        <w:rPr>
          <w:rFonts w:ascii="Arial" w:hAnsi="Arial" w:cs="Arial"/>
          <w:color w:val="000000"/>
          <w:szCs w:val="21"/>
        </w:rPr>
      </w:pPr>
      <w:r>
        <w:rPr>
          <w:rFonts w:ascii="Arial" w:hAnsi="Arial" w:cs="Arial"/>
          <w:color w:val="000000"/>
          <w:szCs w:val="21"/>
        </w:rPr>
        <w:t>3.学校优先向用人单位推荐优秀毕业生就业。</w:t>
      </w:r>
    </w:p>
    <w:p w14:paraId="17703977">
      <w:pPr>
        <w:snapToGrid w:val="0"/>
        <w:spacing w:line="288" w:lineRule="auto"/>
        <w:ind w:firstLine="420" w:firstLineChars="200"/>
        <w:outlineLvl w:val="0"/>
        <w:rPr>
          <w:rFonts w:ascii="Arial" w:hAnsi="Arial" w:eastAsia="黑体" w:cs="Arial"/>
          <w:color w:val="000000"/>
          <w:szCs w:val="21"/>
        </w:rPr>
      </w:pPr>
      <w:bookmarkStart w:id="8" w:name="_Toc9847"/>
      <w:r>
        <w:rPr>
          <w:rFonts w:ascii="Arial" w:hAnsi="Arial" w:eastAsia="黑体" w:cs="Arial"/>
          <w:color w:val="000000"/>
          <w:szCs w:val="21"/>
        </w:rPr>
        <w:t>八、其它</w:t>
      </w:r>
      <w:bookmarkEnd w:id="8"/>
    </w:p>
    <w:p w14:paraId="0D3C33DD">
      <w:pPr>
        <w:snapToGrid w:val="0"/>
        <w:spacing w:line="288" w:lineRule="auto"/>
        <w:ind w:firstLine="420" w:firstLineChars="200"/>
        <w:rPr>
          <w:rFonts w:ascii="Arial" w:hAnsi="Arial" w:cs="Arial"/>
          <w:color w:val="000000"/>
          <w:szCs w:val="21"/>
        </w:rPr>
      </w:pPr>
      <w:r>
        <w:rPr>
          <w:rFonts w:ascii="Arial" w:hAnsi="Arial" w:cs="Arial"/>
          <w:color w:val="000000"/>
          <w:szCs w:val="21"/>
        </w:rPr>
        <w:t>1.已被评为优秀毕业研究生的同学，如有下列情况之一者学校有权取消其优秀毕业生荣誉称号。</w:t>
      </w:r>
    </w:p>
    <w:p w14:paraId="021AE417">
      <w:pPr>
        <w:snapToGrid w:val="0"/>
        <w:spacing w:line="288" w:lineRule="auto"/>
        <w:ind w:firstLine="420" w:firstLineChars="200"/>
        <w:rPr>
          <w:rFonts w:ascii="Arial" w:hAnsi="Arial" w:cs="Arial"/>
          <w:color w:val="000000"/>
          <w:szCs w:val="21"/>
        </w:rPr>
      </w:pPr>
      <w:r>
        <w:rPr>
          <w:rFonts w:ascii="Arial" w:hAnsi="Arial" w:cs="Arial"/>
          <w:color w:val="000000"/>
          <w:szCs w:val="21"/>
        </w:rPr>
        <w:t>（1）论文原创性检查未一次性通过；</w:t>
      </w:r>
    </w:p>
    <w:p w14:paraId="36015A44">
      <w:pPr>
        <w:snapToGrid w:val="0"/>
        <w:spacing w:line="288" w:lineRule="auto"/>
        <w:ind w:firstLine="420" w:firstLineChars="200"/>
        <w:rPr>
          <w:rFonts w:ascii="Arial" w:hAnsi="Arial" w:cs="Arial"/>
          <w:color w:val="000000"/>
          <w:szCs w:val="21"/>
        </w:rPr>
      </w:pPr>
      <w:r>
        <w:rPr>
          <w:rFonts w:ascii="Arial" w:hAnsi="Arial" w:cs="Arial"/>
          <w:color w:val="000000"/>
          <w:szCs w:val="21"/>
        </w:rPr>
        <w:t>（2）未通过学位论文答辩；</w:t>
      </w:r>
    </w:p>
    <w:p w14:paraId="320FF61F">
      <w:pPr>
        <w:snapToGrid w:val="0"/>
        <w:spacing w:line="288" w:lineRule="auto"/>
        <w:ind w:firstLine="420" w:firstLineChars="200"/>
        <w:rPr>
          <w:rFonts w:ascii="Arial" w:hAnsi="Arial" w:cs="Arial"/>
          <w:color w:val="000000"/>
          <w:szCs w:val="21"/>
        </w:rPr>
      </w:pPr>
      <w:r>
        <w:rPr>
          <w:rFonts w:ascii="Arial" w:hAnsi="Arial" w:cs="Arial"/>
          <w:color w:val="000000"/>
          <w:szCs w:val="21"/>
        </w:rPr>
        <w:t>（3）未按期毕业；</w:t>
      </w:r>
    </w:p>
    <w:p w14:paraId="5F129486">
      <w:pPr>
        <w:snapToGrid w:val="0"/>
        <w:spacing w:line="288" w:lineRule="auto"/>
        <w:ind w:firstLine="420" w:firstLineChars="200"/>
        <w:rPr>
          <w:rFonts w:ascii="Arial" w:hAnsi="Arial" w:cs="Arial"/>
          <w:color w:val="000000"/>
          <w:szCs w:val="21"/>
        </w:rPr>
      </w:pPr>
      <w:r>
        <w:rPr>
          <w:rFonts w:ascii="Arial" w:hAnsi="Arial" w:cs="Arial"/>
          <w:color w:val="000000"/>
          <w:szCs w:val="21"/>
        </w:rPr>
        <w:t>（4）就业过程中因个人原因有违约行为；</w:t>
      </w:r>
    </w:p>
    <w:p w14:paraId="5C51508C">
      <w:pPr>
        <w:snapToGrid w:val="0"/>
        <w:spacing w:line="288" w:lineRule="auto"/>
        <w:ind w:firstLine="420" w:firstLineChars="200"/>
        <w:rPr>
          <w:rFonts w:ascii="Arial" w:hAnsi="Arial" w:cs="Arial"/>
          <w:color w:val="000000"/>
          <w:szCs w:val="21"/>
        </w:rPr>
      </w:pPr>
      <w:r>
        <w:rPr>
          <w:rFonts w:ascii="Arial" w:hAnsi="Arial" w:cs="Arial"/>
          <w:color w:val="000000"/>
          <w:szCs w:val="21"/>
        </w:rPr>
        <w:t>（5）有其他不良行为。</w:t>
      </w:r>
    </w:p>
    <w:p w14:paraId="50C2ECF0">
      <w:pPr>
        <w:snapToGrid w:val="0"/>
        <w:spacing w:line="288" w:lineRule="auto"/>
        <w:ind w:firstLine="420" w:firstLineChars="200"/>
        <w:rPr>
          <w:rFonts w:ascii="Arial" w:hAnsi="Arial" w:cs="Arial"/>
          <w:color w:val="000000"/>
          <w:szCs w:val="21"/>
        </w:rPr>
      </w:pPr>
      <w:r>
        <w:rPr>
          <w:rFonts w:ascii="Arial" w:hAnsi="Arial" w:cs="Arial"/>
          <w:color w:val="000000"/>
          <w:szCs w:val="21"/>
        </w:rPr>
        <w:t xml:space="preserve">2.本细则由校长授权研究生院负责解释。 </w:t>
      </w:r>
    </w:p>
    <w:p w14:paraId="4E8384D9">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534C"/>
    <w:rsid w:val="058A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2025-02-24T07:46:00Z</dcterms:created>
  <dc:creator>研究生院</dc:creator>
  <cp:lastModifiedBy>研究生院</cp:lastModifiedBy>
  <dcterms:modified xsi:type="dcterms:W3CDTF">2025-02-24T07:46:44Z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C7C5BE3A5A4F47A6AC4CDD6DC9BC63D7_11</vt:lpwstr>
  </property>
  <property fmtid="{D5CDD505-2E9C-101B-9397-08002B2CF9AE}" pid="4" name="KSOTemplateDocerSaveRecord">
    <vt:lpwstr>eyJoZGlkIjoiNjQ0MDY5MWRiMzliZTBjNjBhNmE5ZDIxMTliMmQ0NDYiLCJ1c2VySWQiOiI4Njk1NDM4MjMifQ==</vt:lpwstr>
  </property>
</Properties>
</file>