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E5C869">
      <w:pPr>
        <w:jc w:val="center"/>
        <w:rPr>
          <w:b/>
          <w:sz w:val="52"/>
          <w:szCs w:val="52"/>
        </w:rPr>
      </w:pPr>
    </w:p>
    <w:p w14:paraId="34D1A7CA">
      <w:pPr>
        <w:jc w:val="center"/>
        <w:rPr>
          <w:b/>
          <w:sz w:val="52"/>
          <w:szCs w:val="52"/>
        </w:rPr>
      </w:pPr>
    </w:p>
    <w:p w14:paraId="60A0CC12">
      <w:pPr>
        <w:jc w:val="center"/>
        <w:rPr>
          <w:b/>
          <w:sz w:val="52"/>
          <w:szCs w:val="52"/>
        </w:rPr>
      </w:pPr>
    </w:p>
    <w:p w14:paraId="6416BB3F">
      <w:pPr>
        <w:jc w:val="center"/>
        <w:rPr>
          <w:b/>
          <w:sz w:val="52"/>
          <w:szCs w:val="52"/>
        </w:rPr>
      </w:pPr>
    </w:p>
    <w:p w14:paraId="7DB32CE3">
      <w:pPr>
        <w:jc w:val="center"/>
        <w:rPr>
          <w:b/>
          <w:sz w:val="52"/>
          <w:szCs w:val="52"/>
        </w:rPr>
      </w:pPr>
      <w:r>
        <w:rPr>
          <w:rFonts w:hint="eastAsia"/>
          <w:b/>
          <w:sz w:val="52"/>
          <w:szCs w:val="52"/>
        </w:rPr>
        <w:t>研究生选课</w:t>
      </w:r>
    </w:p>
    <w:p w14:paraId="7CA789AB">
      <w:pPr>
        <w:jc w:val="center"/>
        <w:rPr>
          <w:b/>
          <w:sz w:val="52"/>
          <w:szCs w:val="52"/>
        </w:rPr>
      </w:pPr>
      <w:r>
        <w:rPr>
          <w:rFonts w:hint="eastAsia"/>
          <w:b/>
          <w:sz w:val="52"/>
          <w:szCs w:val="52"/>
        </w:rPr>
        <w:t>操作手册</w:t>
      </w:r>
    </w:p>
    <w:p w14:paraId="4C7C5337">
      <w:pPr>
        <w:rPr>
          <w:rFonts w:ascii="宋体" w:hAnsi="宋体" w:eastAsia="宋体" w:cs="宋体"/>
          <w:sz w:val="24"/>
        </w:rPr>
      </w:pPr>
    </w:p>
    <w:p w14:paraId="5C68A787">
      <w:pPr>
        <w:rPr>
          <w:rFonts w:ascii="宋体" w:hAnsi="宋体" w:eastAsia="宋体" w:cs="宋体"/>
          <w:sz w:val="24"/>
        </w:rPr>
      </w:pPr>
    </w:p>
    <w:p w14:paraId="3BF19B24">
      <w:pPr>
        <w:rPr>
          <w:rFonts w:ascii="宋体" w:hAnsi="宋体" w:eastAsia="宋体" w:cs="宋体"/>
          <w:sz w:val="24"/>
        </w:rPr>
      </w:pPr>
    </w:p>
    <w:p w14:paraId="17B34BEE">
      <w:pPr>
        <w:rPr>
          <w:rFonts w:ascii="宋体" w:hAnsi="宋体" w:eastAsia="宋体" w:cs="宋体"/>
          <w:sz w:val="24"/>
        </w:rPr>
      </w:pPr>
    </w:p>
    <w:p w14:paraId="1B2BB80D">
      <w:pPr>
        <w:rPr>
          <w:rFonts w:ascii="宋体" w:hAnsi="宋体" w:eastAsia="宋体" w:cs="宋体"/>
          <w:sz w:val="24"/>
        </w:rPr>
      </w:pPr>
    </w:p>
    <w:p w14:paraId="7C04C4B2">
      <w:pPr>
        <w:rPr>
          <w:rFonts w:ascii="宋体" w:hAnsi="宋体" w:eastAsia="宋体" w:cs="宋体"/>
          <w:sz w:val="24"/>
        </w:rPr>
      </w:pPr>
    </w:p>
    <w:p w14:paraId="50080C4A">
      <w:pPr>
        <w:rPr>
          <w:rFonts w:ascii="宋体" w:hAnsi="宋体" w:eastAsia="宋体" w:cs="宋体"/>
          <w:sz w:val="24"/>
        </w:rPr>
      </w:pPr>
    </w:p>
    <w:p w14:paraId="05A635F1">
      <w:pPr>
        <w:rPr>
          <w:rFonts w:ascii="宋体" w:hAnsi="宋体" w:eastAsia="宋体" w:cs="宋体"/>
          <w:sz w:val="24"/>
        </w:rPr>
      </w:pPr>
    </w:p>
    <w:p w14:paraId="78E1ED1E">
      <w:pPr>
        <w:rPr>
          <w:rFonts w:ascii="宋体" w:hAnsi="宋体" w:eastAsia="宋体" w:cs="宋体"/>
          <w:sz w:val="24"/>
        </w:rPr>
      </w:pPr>
    </w:p>
    <w:p w14:paraId="274A95ED">
      <w:pPr>
        <w:rPr>
          <w:rFonts w:ascii="宋体" w:hAnsi="宋体" w:eastAsia="宋体" w:cs="宋体"/>
          <w:sz w:val="24"/>
        </w:rPr>
      </w:pPr>
    </w:p>
    <w:p w14:paraId="330A8998">
      <w:pPr>
        <w:rPr>
          <w:rFonts w:ascii="宋体" w:hAnsi="宋体" w:eastAsia="宋体" w:cs="宋体"/>
          <w:sz w:val="24"/>
        </w:rPr>
      </w:pPr>
    </w:p>
    <w:p w14:paraId="1E759C15">
      <w:pPr>
        <w:rPr>
          <w:rFonts w:ascii="宋体" w:hAnsi="宋体" w:eastAsia="宋体" w:cs="宋体"/>
          <w:sz w:val="24"/>
        </w:rPr>
      </w:pPr>
    </w:p>
    <w:p w14:paraId="1A020D63">
      <w:pPr>
        <w:rPr>
          <w:rFonts w:ascii="宋体" w:hAnsi="宋体" w:eastAsia="宋体" w:cs="宋体"/>
          <w:sz w:val="24"/>
        </w:rPr>
      </w:pPr>
    </w:p>
    <w:p w14:paraId="1DC36E6D">
      <w:pPr>
        <w:rPr>
          <w:rFonts w:ascii="宋体" w:hAnsi="宋体" w:eastAsia="宋体" w:cs="宋体"/>
          <w:sz w:val="24"/>
        </w:rPr>
      </w:pPr>
    </w:p>
    <w:p w14:paraId="5506F52A">
      <w:pPr>
        <w:rPr>
          <w:rFonts w:ascii="宋体" w:hAnsi="宋体" w:eastAsia="宋体" w:cs="宋体"/>
          <w:sz w:val="24"/>
        </w:rPr>
      </w:pPr>
    </w:p>
    <w:p w14:paraId="7D78E1C2">
      <w:pPr>
        <w:rPr>
          <w:rFonts w:ascii="宋体" w:hAnsi="宋体" w:eastAsia="宋体" w:cs="宋体"/>
          <w:sz w:val="24"/>
        </w:rPr>
      </w:pPr>
    </w:p>
    <w:p w14:paraId="44427F7E">
      <w:pPr>
        <w:rPr>
          <w:rFonts w:ascii="宋体" w:hAnsi="宋体" w:eastAsia="宋体" w:cs="宋体"/>
          <w:sz w:val="24"/>
        </w:rPr>
      </w:pPr>
    </w:p>
    <w:p w14:paraId="47F1A363">
      <w:pPr>
        <w:rPr>
          <w:rFonts w:ascii="宋体" w:hAnsi="宋体" w:eastAsia="宋体" w:cs="宋体"/>
          <w:sz w:val="24"/>
        </w:rPr>
      </w:pPr>
    </w:p>
    <w:p w14:paraId="7293A417">
      <w:pPr>
        <w:rPr>
          <w:rFonts w:ascii="宋体" w:hAnsi="宋体" w:eastAsia="宋体" w:cs="宋体"/>
          <w:sz w:val="24"/>
        </w:rPr>
      </w:pPr>
    </w:p>
    <w:p w14:paraId="74015A21">
      <w:pPr>
        <w:rPr>
          <w:rFonts w:ascii="宋体" w:hAnsi="宋体" w:eastAsia="宋体" w:cs="宋体"/>
          <w:sz w:val="24"/>
        </w:rPr>
      </w:pPr>
    </w:p>
    <w:p w14:paraId="56C7B8B3">
      <w:pPr>
        <w:rPr>
          <w:rFonts w:ascii="宋体" w:hAnsi="宋体" w:eastAsia="宋体" w:cs="宋体"/>
          <w:sz w:val="24"/>
        </w:rPr>
      </w:pPr>
    </w:p>
    <w:p w14:paraId="6464496F">
      <w:pPr>
        <w:rPr>
          <w:rFonts w:ascii="宋体" w:hAnsi="宋体" w:eastAsia="宋体" w:cs="宋体"/>
          <w:sz w:val="24"/>
        </w:rPr>
      </w:pPr>
    </w:p>
    <w:p w14:paraId="029DB18C">
      <w:pPr>
        <w:rPr>
          <w:rFonts w:ascii="宋体" w:hAnsi="宋体" w:eastAsia="宋体" w:cs="宋体"/>
          <w:sz w:val="24"/>
        </w:rPr>
      </w:pPr>
    </w:p>
    <w:p w14:paraId="01098EE2">
      <w:pPr>
        <w:rPr>
          <w:rFonts w:ascii="宋体" w:hAnsi="宋体" w:eastAsia="宋体" w:cs="宋体"/>
          <w:sz w:val="24"/>
        </w:rPr>
      </w:pPr>
    </w:p>
    <w:p w14:paraId="56ECBB2B">
      <w:pPr>
        <w:rPr>
          <w:rFonts w:ascii="宋体" w:hAnsi="宋体" w:eastAsia="宋体" w:cs="宋体"/>
          <w:sz w:val="24"/>
        </w:rPr>
      </w:pPr>
    </w:p>
    <w:p w14:paraId="1AEF8E82">
      <w:pPr>
        <w:rPr>
          <w:rFonts w:ascii="宋体" w:hAnsi="宋体" w:eastAsia="宋体" w:cs="宋体"/>
          <w:sz w:val="24"/>
        </w:rPr>
      </w:pPr>
    </w:p>
    <w:p w14:paraId="76797C6B">
      <w:pPr>
        <w:numPr>
          <w:ilvl w:val="0"/>
          <w:numId w:val="1"/>
        </w:numPr>
        <w:rPr>
          <w:rFonts w:ascii="宋体" w:hAnsi="宋体" w:eastAsia="宋体" w:cs="宋体"/>
          <w:b/>
          <w:bCs/>
          <w:sz w:val="32"/>
          <w:szCs w:val="32"/>
        </w:rPr>
      </w:pPr>
      <w:r>
        <w:rPr>
          <w:rFonts w:hint="eastAsia" w:ascii="宋体" w:hAnsi="宋体" w:eastAsia="宋体" w:cs="宋体"/>
          <w:b/>
          <w:bCs/>
          <w:sz w:val="32"/>
          <w:szCs w:val="32"/>
        </w:rPr>
        <w:t>选课系统登录方式</w:t>
      </w:r>
    </w:p>
    <w:p w14:paraId="3FC6F81B">
      <w:pPr>
        <w:numPr>
          <w:ilvl w:val="0"/>
          <w:numId w:val="2"/>
        </w:numPr>
        <w:rPr>
          <w:rFonts w:asciiTheme="minorEastAsia" w:hAnsiTheme="minorEastAsia" w:cstheme="minorEastAsia"/>
          <w:sz w:val="24"/>
        </w:rPr>
      </w:pPr>
      <w:r>
        <w:rPr>
          <w:rFonts w:hint="eastAsia" w:asciiTheme="minorEastAsia" w:hAnsiTheme="minorEastAsia" w:cstheme="minorEastAsia"/>
          <w:sz w:val="24"/>
        </w:rPr>
        <w:t xml:space="preserve"> 校外网络登录选课系统需要通过</w:t>
      </w:r>
      <w:r>
        <w:rPr>
          <w:rFonts w:asciiTheme="minorEastAsia" w:hAnsiTheme="minorEastAsia" w:cstheme="minorEastAsia"/>
          <w:sz w:val="24"/>
        </w:rPr>
        <w:t>VPN</w:t>
      </w:r>
      <w:r>
        <w:rPr>
          <w:rFonts w:hint="eastAsia" w:asciiTheme="minorEastAsia" w:hAnsiTheme="minorEastAsia" w:cstheme="minorEastAsia"/>
          <w:sz w:val="24"/>
        </w:rPr>
        <w:t>的方式访问，</w:t>
      </w:r>
      <w:r>
        <w:rPr>
          <w:rFonts w:asciiTheme="minorEastAsia" w:hAnsiTheme="minorEastAsia" w:cstheme="minorEastAsia"/>
          <w:sz w:val="24"/>
        </w:rPr>
        <w:t>VPN</w:t>
      </w:r>
      <w:r>
        <w:rPr>
          <w:rFonts w:hint="eastAsia" w:asciiTheme="minorEastAsia" w:hAnsiTheme="minorEastAsia" w:cstheme="minorEastAsia"/>
          <w:sz w:val="24"/>
        </w:rPr>
        <w:t>地址https://vpn.shou.edu.cn ；学校系统访问账号密码和</w:t>
      </w:r>
      <w:r>
        <w:rPr>
          <w:rFonts w:asciiTheme="minorEastAsia" w:hAnsiTheme="minorEastAsia" w:cstheme="minorEastAsia"/>
          <w:sz w:val="24"/>
        </w:rPr>
        <w:t>VPN</w:t>
      </w:r>
      <w:r>
        <w:rPr>
          <w:rFonts w:hint="eastAsia" w:asciiTheme="minorEastAsia" w:hAnsiTheme="minorEastAsia" w:cstheme="minorEastAsia"/>
          <w:sz w:val="24"/>
        </w:rPr>
        <w:t>账号密码激活方式见附件2，学校系统账号密码和V</w:t>
      </w:r>
      <w:r>
        <w:rPr>
          <w:rFonts w:asciiTheme="minorEastAsia" w:hAnsiTheme="minorEastAsia" w:cstheme="minorEastAsia"/>
          <w:sz w:val="24"/>
        </w:rPr>
        <w:t>PN</w:t>
      </w:r>
      <w:r>
        <w:rPr>
          <w:rFonts w:hint="eastAsia" w:asciiTheme="minorEastAsia" w:hAnsiTheme="minorEastAsia" w:cstheme="minorEastAsia"/>
          <w:sz w:val="24"/>
        </w:rPr>
        <w:t>账号密码一致。</w:t>
      </w:r>
    </w:p>
    <w:p w14:paraId="710701C9">
      <w:pPr>
        <w:numPr>
          <w:ilvl w:val="0"/>
          <w:numId w:val="2"/>
        </w:numPr>
        <w:rPr>
          <w:rFonts w:asciiTheme="minorEastAsia" w:hAnsiTheme="minorEastAsia" w:cstheme="minorEastAsia"/>
          <w:sz w:val="24"/>
        </w:rPr>
      </w:pPr>
      <w:r>
        <w:rPr>
          <w:rFonts w:hint="eastAsia" w:asciiTheme="minorEastAsia" w:hAnsiTheme="minorEastAsia" w:cstheme="minorEastAsia"/>
          <w:sz w:val="24"/>
        </w:rPr>
        <w:t>登录研究生选课系统（</w:t>
      </w:r>
      <w:r>
        <w:rPr>
          <w:rFonts w:hint="eastAsia" w:asciiTheme="minorEastAsia" w:hAnsiTheme="minorEastAsia" w:cstheme="minorEastAsia"/>
          <w:color w:val="FF0000"/>
          <w:sz w:val="24"/>
        </w:rPr>
        <w:t>使用校内网络可以直接访问，不需要登录</w:t>
      </w:r>
      <w:r>
        <w:rPr>
          <w:rFonts w:asciiTheme="minorEastAsia" w:hAnsiTheme="minorEastAsia" w:cstheme="minorEastAsia"/>
          <w:color w:val="FF0000"/>
          <w:sz w:val="24"/>
        </w:rPr>
        <w:t>VPN</w:t>
      </w:r>
      <w:r>
        <w:rPr>
          <w:rFonts w:hint="eastAsia" w:asciiTheme="minorEastAsia" w:hAnsiTheme="minorEastAsia" w:cstheme="minorEastAsia"/>
          <w:sz w:val="24"/>
        </w:rPr>
        <w:t xml:space="preserve">）： </w:t>
      </w:r>
    </w:p>
    <w:p w14:paraId="1C92575C">
      <w:pPr>
        <w:rPr>
          <w:rFonts w:asciiTheme="minorEastAsia" w:hAnsiTheme="minorEastAsia" w:cstheme="minorEastAsia"/>
          <w:sz w:val="24"/>
        </w:rPr>
      </w:pPr>
      <w:r>
        <w:fldChar w:fldCharType="begin"/>
      </w:r>
      <w:r>
        <w:instrText xml:space="preserve"> HYPERLINK "https://yjsxk.shou.edu.cn/yjsxkapp/sys/xsxkapp/index.html" </w:instrText>
      </w:r>
      <w:r>
        <w:fldChar w:fldCharType="separate"/>
      </w:r>
      <w:r>
        <w:rPr>
          <w:rStyle w:val="7"/>
          <w:rFonts w:hint="eastAsia" w:asciiTheme="minorEastAsia" w:hAnsiTheme="minorEastAsia" w:cstheme="minorEastAsia"/>
          <w:sz w:val="24"/>
        </w:rPr>
        <w:t>https://yjsxk.shou.edu.cn/yjsxkapp/sys/xsxkapp/index.html</w:t>
      </w:r>
      <w:r>
        <w:rPr>
          <w:rStyle w:val="7"/>
          <w:rFonts w:hint="eastAsia" w:asciiTheme="minorEastAsia" w:hAnsiTheme="minorEastAsia" w:cstheme="minorEastAsia"/>
          <w:sz w:val="24"/>
        </w:rPr>
        <w:fldChar w:fldCharType="end"/>
      </w:r>
    </w:p>
    <w:p w14:paraId="5BCDC23F">
      <w:pPr>
        <w:rPr>
          <w:rFonts w:ascii="宋体" w:hAnsi="宋体" w:eastAsia="宋体" w:cs="宋体"/>
          <w:sz w:val="24"/>
        </w:rPr>
      </w:pPr>
      <w:r>
        <w:rPr>
          <w:rFonts w:hint="eastAsia" w:asciiTheme="minorEastAsia" w:hAnsiTheme="minorEastAsia" w:cstheme="minorEastAsia"/>
          <w:sz w:val="24"/>
        </w:rPr>
        <w:t>账号：学号;密码：身份证后</w:t>
      </w:r>
      <w:r>
        <w:rPr>
          <w:rFonts w:hint="eastAsia" w:asciiTheme="minorEastAsia" w:hAnsiTheme="minorEastAsia" w:cstheme="minorEastAsia"/>
          <w:sz w:val="24"/>
          <w:lang w:val="en-US" w:eastAsia="zh-CN"/>
        </w:rPr>
        <w:t>6</w:t>
      </w:r>
      <w:r>
        <w:rPr>
          <w:rFonts w:hint="eastAsia" w:asciiTheme="minorEastAsia" w:hAnsiTheme="minorEastAsia" w:cstheme="minorEastAsia"/>
          <w:sz w:val="24"/>
        </w:rPr>
        <w:t>位(留学生为护照后6位</w:t>
      </w:r>
      <w:r>
        <w:rPr>
          <w:rFonts w:asciiTheme="minorEastAsia" w:hAnsiTheme="minorEastAsia" w:cstheme="minorEastAsia"/>
          <w:sz w:val="24"/>
        </w:rPr>
        <w:t>)</w:t>
      </w:r>
      <w:r>
        <w:rPr>
          <w:rFonts w:hint="eastAsia" w:asciiTheme="minorEastAsia" w:hAnsiTheme="minorEastAsia" w:cstheme="minorEastAsia"/>
          <w:sz w:val="24"/>
        </w:rPr>
        <w:t>。</w:t>
      </w:r>
    </w:p>
    <w:p w14:paraId="610A76FB">
      <w:pPr>
        <w:tabs>
          <w:tab w:val="left" w:pos="312"/>
        </w:tabs>
        <w:rPr>
          <w:rFonts w:asciiTheme="minorEastAsia" w:hAnsiTheme="minorEastAsia" w:cstheme="minorEastAsia"/>
          <w:sz w:val="24"/>
        </w:rPr>
      </w:pPr>
      <w:r>
        <w:drawing>
          <wp:inline distT="0" distB="0" distL="114300" distR="114300">
            <wp:extent cx="5270500" cy="3397885"/>
            <wp:effectExtent l="0" t="0" r="2540" b="63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5" cstate="print"/>
                    <a:stretch>
                      <a:fillRect/>
                    </a:stretch>
                  </pic:blipFill>
                  <pic:spPr>
                    <a:xfrm>
                      <a:off x="0" y="0"/>
                      <a:ext cx="5270500" cy="3397885"/>
                    </a:xfrm>
                    <a:prstGeom prst="rect">
                      <a:avLst/>
                    </a:prstGeom>
                    <a:noFill/>
                    <a:ln>
                      <a:noFill/>
                    </a:ln>
                  </pic:spPr>
                </pic:pic>
              </a:graphicData>
            </a:graphic>
          </wp:inline>
        </w:drawing>
      </w:r>
      <w:r>
        <w:rPr>
          <w:rFonts w:hint="eastAsia"/>
        </w:rPr>
        <w:tab/>
      </w:r>
    </w:p>
    <w:p w14:paraId="34972D2D">
      <w:pPr>
        <w:rPr>
          <w:rFonts w:asciiTheme="minorEastAsia" w:hAnsiTheme="minorEastAsia" w:cstheme="minorEastAsia"/>
          <w:szCs w:val="21"/>
        </w:rPr>
      </w:pPr>
      <w:r>
        <w:rPr>
          <w:rFonts w:hint="eastAsia" w:ascii="Times New Roman" w:hAnsi="Times New Roman" w:eastAsia="宋体" w:cs="Times New Roman"/>
          <w:color w:val="FF0000"/>
          <w:sz w:val="24"/>
        </w:rPr>
        <w:t>注：推荐使用谷歌浏览器、360安全浏览器极速模式、360极速浏览器极速模式。存在界面无法加载或信息展现不及时的情况，请清除浏览器后缓存重新登录；</w:t>
      </w:r>
      <w:r>
        <w:rPr>
          <w:rFonts w:asciiTheme="minorEastAsia" w:hAnsiTheme="minorEastAsia" w:cstheme="minorEastAsia"/>
          <w:color w:val="FF0000"/>
          <w:szCs w:val="21"/>
        </w:rPr>
        <w:t xml:space="preserve"> </w:t>
      </w:r>
      <w:r>
        <w:rPr>
          <w:rFonts w:hint="eastAsia" w:asciiTheme="minorEastAsia" w:hAnsiTheme="minorEastAsia" w:cstheme="minorEastAsia"/>
          <w:color w:val="FF0000"/>
          <w:szCs w:val="21"/>
        </w:rPr>
        <w:t>。</w:t>
      </w:r>
    </w:p>
    <w:p w14:paraId="205D1565">
      <w:pPr>
        <w:tabs>
          <w:tab w:val="left" w:pos="312"/>
        </w:tabs>
        <w:rPr>
          <w:rFonts w:asciiTheme="minorEastAsia" w:hAnsiTheme="minorEastAsia" w:cstheme="minorEastAsia"/>
          <w:sz w:val="24"/>
        </w:rPr>
      </w:pPr>
      <w:r>
        <w:rPr>
          <w:rFonts w:hint="eastAsia" w:asciiTheme="minorEastAsia" w:hAnsiTheme="minorEastAsia" w:cstheme="minorEastAsia"/>
          <w:sz w:val="24"/>
        </w:rPr>
        <w:t>2.页面信息说明:</w:t>
      </w:r>
    </w:p>
    <w:p w14:paraId="22FBC519">
      <w:pPr>
        <w:rPr>
          <w:rFonts w:asciiTheme="minorEastAsia" w:hAnsiTheme="minorEastAsia" w:cstheme="minorEastAsia"/>
        </w:rPr>
      </w:pPr>
      <w:r>
        <w:rPr>
          <w:rFonts w:hint="eastAsia" w:asciiTheme="minorEastAsia" w:hAnsiTheme="minorEastAsia" w:cstheme="minorEastAsia"/>
        </w:rPr>
        <w:t>A :操作手册：用来说明选课的操作步骤。</w:t>
      </w:r>
    </w:p>
    <w:p w14:paraId="6EC46E69">
      <w:pPr>
        <w:rPr>
          <w:rFonts w:asciiTheme="minorEastAsia" w:hAnsiTheme="minorEastAsia" w:cstheme="minorEastAsia"/>
        </w:rPr>
      </w:pPr>
      <w:r>
        <w:rPr>
          <w:rFonts w:hint="eastAsia" w:asciiTheme="minorEastAsia" w:hAnsiTheme="minorEastAsia" w:cstheme="minorEastAsia"/>
        </w:rPr>
        <w:t>B：通知公告：学校发布的选课通知公告信息。</w:t>
      </w:r>
    </w:p>
    <w:p w14:paraId="2F69F979">
      <w:pPr>
        <w:rPr>
          <w:rFonts w:asciiTheme="minorEastAsia" w:hAnsiTheme="minorEastAsia" w:cstheme="minorEastAsia"/>
        </w:rPr>
      </w:pPr>
      <w:r>
        <w:rPr>
          <w:rFonts w:hint="eastAsia" w:asciiTheme="minorEastAsia" w:hAnsiTheme="minorEastAsia" w:cstheme="minorEastAsia"/>
        </w:rPr>
        <w:t>C：常见问题：汇总了选课中学生们遇到的常见问题，可供学生查看。</w:t>
      </w:r>
    </w:p>
    <w:p w14:paraId="2EACE23E">
      <w:pPr>
        <w:rPr>
          <w:rFonts w:asciiTheme="minorEastAsia" w:hAnsiTheme="minorEastAsia" w:cstheme="minorEastAsia"/>
        </w:rPr>
      </w:pPr>
    </w:p>
    <w:p w14:paraId="37F88016">
      <w:pPr>
        <w:rPr>
          <w:rFonts w:asciiTheme="minorEastAsia" w:hAnsiTheme="minorEastAsia" w:cstheme="minorEastAsia"/>
        </w:rPr>
      </w:pPr>
    </w:p>
    <w:p w14:paraId="27B1A513">
      <w:pPr>
        <w:pStyle w:val="8"/>
        <w:ind w:left="420" w:firstLine="0" w:firstLineChars="0"/>
        <w:rPr>
          <w:rFonts w:asciiTheme="minorEastAsia" w:hAnsiTheme="minorEastAsia" w:cstheme="minorEastAsia"/>
        </w:rPr>
      </w:pPr>
      <w:r>
        <w:drawing>
          <wp:inline distT="0" distB="0" distL="0" distR="0">
            <wp:extent cx="5274310" cy="299275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cstate="print"/>
                    <a:stretch>
                      <a:fillRect/>
                    </a:stretch>
                  </pic:blipFill>
                  <pic:spPr>
                    <a:xfrm>
                      <a:off x="0" y="0"/>
                      <a:ext cx="5274310" cy="2993049"/>
                    </a:xfrm>
                    <a:prstGeom prst="rect">
                      <a:avLst/>
                    </a:prstGeom>
                  </pic:spPr>
                </pic:pic>
              </a:graphicData>
            </a:graphic>
          </wp:inline>
        </w:drawing>
      </w:r>
    </w:p>
    <w:p w14:paraId="3BC9EF55">
      <w:pPr>
        <w:numPr>
          <w:ilvl w:val="0"/>
          <w:numId w:val="1"/>
        </w:numPr>
        <w:rPr>
          <w:b/>
          <w:bCs/>
          <w:sz w:val="32"/>
          <w:szCs w:val="32"/>
        </w:rPr>
      </w:pPr>
      <w:r>
        <w:rPr>
          <w:rFonts w:hint="eastAsia"/>
          <w:b/>
          <w:bCs/>
          <w:sz w:val="32"/>
          <w:szCs w:val="32"/>
        </w:rPr>
        <w:t>学生个人培养计划维护</w:t>
      </w:r>
    </w:p>
    <w:p w14:paraId="10DD1E8F">
      <w:pPr>
        <w:numPr>
          <w:ilvl w:val="0"/>
          <w:numId w:val="3"/>
        </w:numPr>
        <w:rPr>
          <w:rFonts w:asciiTheme="minorEastAsia" w:hAnsiTheme="minorEastAsia" w:cstheme="minorEastAsia"/>
          <w:sz w:val="24"/>
        </w:rPr>
      </w:pPr>
      <w:r>
        <w:rPr>
          <w:rFonts w:hint="eastAsia" w:asciiTheme="minorEastAsia" w:hAnsiTheme="minorEastAsia" w:cstheme="minorEastAsia"/>
          <w:sz w:val="24"/>
        </w:rPr>
        <w:t>点击‘我的计划’按钮，跳转到选学生计划维护页面，维护个人培养计划。</w:t>
      </w:r>
    </w:p>
    <w:p w14:paraId="0048DE3C">
      <w:pPr>
        <w:tabs>
          <w:tab w:val="left" w:pos="312"/>
        </w:tabs>
        <w:rPr>
          <w:rFonts w:asciiTheme="minorEastAsia" w:hAnsiTheme="minorEastAsia" w:cstheme="minorEastAsia"/>
          <w:sz w:val="24"/>
        </w:rPr>
      </w:pPr>
      <w:r>
        <w:rPr>
          <w:rFonts w:hint="eastAsia" w:asciiTheme="minorEastAsia" w:hAnsiTheme="minorEastAsia" w:cstheme="minorEastAsia"/>
          <w:sz w:val="24"/>
        </w:rPr>
        <w:t xml:space="preserve">  点击‘查看我的课表’，可以查看本人当前时刻的课表信息。</w:t>
      </w:r>
    </w:p>
    <w:p w14:paraId="3C3370B9">
      <w:r>
        <w:drawing>
          <wp:inline distT="0" distB="0" distL="114300" distR="114300">
            <wp:extent cx="5272405" cy="2630805"/>
            <wp:effectExtent l="0" t="0" r="635" b="5715"/>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7" cstate="print"/>
                    <a:stretch>
                      <a:fillRect/>
                    </a:stretch>
                  </pic:blipFill>
                  <pic:spPr>
                    <a:xfrm>
                      <a:off x="0" y="0"/>
                      <a:ext cx="5272405" cy="2630805"/>
                    </a:xfrm>
                    <a:prstGeom prst="rect">
                      <a:avLst/>
                    </a:prstGeom>
                    <a:noFill/>
                    <a:ln>
                      <a:noFill/>
                    </a:ln>
                  </pic:spPr>
                </pic:pic>
              </a:graphicData>
            </a:graphic>
          </wp:inline>
        </w:drawing>
      </w:r>
      <w:r>
        <w:rPr>
          <w:rFonts w:hint="eastAsia"/>
        </w:rPr>
        <w:tab/>
      </w:r>
    </w:p>
    <w:p w14:paraId="1623D08C">
      <w:pPr>
        <w:numPr>
          <w:ilvl w:val="0"/>
          <w:numId w:val="3"/>
        </w:numPr>
        <w:rPr>
          <w:rFonts w:ascii="Times New Roman" w:hAnsi="Times New Roman" w:eastAsia="宋体" w:cs="Times New Roman"/>
          <w:sz w:val="24"/>
        </w:rPr>
      </w:pPr>
      <w:r>
        <w:rPr>
          <w:rFonts w:hint="eastAsia" w:ascii="Times New Roman" w:hAnsi="Times New Roman" w:eastAsia="宋体" w:cs="Times New Roman"/>
          <w:sz w:val="24"/>
        </w:rPr>
        <w:t>进入“我的培养计划”页面，开始选计划。</w:t>
      </w:r>
    </w:p>
    <w:p w14:paraId="15D7C52A">
      <w:pPr>
        <w:tabs>
          <w:tab w:val="left" w:pos="312"/>
        </w:tabs>
        <w:rPr>
          <w:rFonts w:ascii="Times New Roman" w:hAnsi="Times New Roman" w:eastAsia="宋体" w:cs="Times New Roman"/>
          <w:sz w:val="24"/>
        </w:rPr>
      </w:pPr>
      <w:r>
        <w:rPr>
          <w:rFonts w:hint="eastAsia" w:ascii="Times New Roman" w:hAnsi="Times New Roman" w:eastAsia="宋体" w:cs="Times New Roman"/>
          <w:sz w:val="24"/>
        </w:rPr>
        <w:t>页面说明：</w:t>
      </w:r>
    </w:p>
    <w:p w14:paraId="72A79138">
      <w:pPr>
        <w:tabs>
          <w:tab w:val="left" w:pos="312"/>
        </w:tabs>
        <w:rPr>
          <w:rFonts w:ascii="Times New Roman" w:hAnsi="Times New Roman" w:eastAsia="宋体" w:cs="Times New Roman"/>
          <w:sz w:val="24"/>
        </w:rPr>
      </w:pPr>
      <w:r>
        <w:rPr>
          <w:rFonts w:hint="eastAsia" w:ascii="Times New Roman" w:hAnsi="Times New Roman" w:eastAsia="宋体" w:cs="Times New Roman"/>
          <w:sz w:val="24"/>
        </w:rPr>
        <w:t>A：本人对应的培养方案学分要求：包含总学分要求以及各课程类别学分要求</w:t>
      </w:r>
    </w:p>
    <w:p w14:paraId="79402221">
      <w:pPr>
        <w:tabs>
          <w:tab w:val="left" w:pos="312"/>
        </w:tabs>
        <w:rPr>
          <w:rFonts w:ascii="Times New Roman" w:hAnsi="Times New Roman" w:eastAsia="宋体" w:cs="Times New Roman"/>
          <w:sz w:val="24"/>
        </w:rPr>
      </w:pPr>
      <w:r>
        <w:rPr>
          <w:rFonts w:hint="eastAsia" w:ascii="Times New Roman" w:hAnsi="Times New Roman" w:eastAsia="宋体" w:cs="Times New Roman"/>
          <w:sz w:val="24"/>
        </w:rPr>
        <w:t>B：个人培养计划已选学分统计</w:t>
      </w:r>
    </w:p>
    <w:p w14:paraId="64799D00">
      <w:pPr>
        <w:tabs>
          <w:tab w:val="left" w:pos="312"/>
        </w:tabs>
        <w:rPr>
          <w:rFonts w:ascii="Times New Roman" w:hAnsi="Times New Roman" w:eastAsia="宋体" w:cs="Times New Roman"/>
          <w:sz w:val="24"/>
        </w:rPr>
      </w:pPr>
      <w:r>
        <w:rPr>
          <w:rFonts w:hint="eastAsia" w:ascii="Times New Roman" w:hAnsi="Times New Roman" w:eastAsia="宋体" w:cs="Times New Roman"/>
          <w:sz w:val="24"/>
        </w:rPr>
        <w:t>C：‘本专业选课’按钮，点击该按钮进行个人培养计划维护。</w:t>
      </w:r>
    </w:p>
    <w:p w14:paraId="7AE33262">
      <w:pPr>
        <w:tabs>
          <w:tab w:val="left" w:pos="312"/>
        </w:tabs>
        <w:rPr>
          <w:rFonts w:ascii="Times New Roman" w:hAnsi="Times New Roman" w:eastAsia="宋体" w:cs="Times New Roman"/>
          <w:color w:val="FF0000"/>
          <w:sz w:val="24"/>
        </w:rPr>
      </w:pPr>
      <w:r>
        <w:rPr>
          <w:rFonts w:hint="eastAsia" w:ascii="Times New Roman" w:hAnsi="Times New Roman" w:eastAsia="宋体" w:cs="Times New Roman"/>
          <w:color w:val="FF0000"/>
          <w:sz w:val="24"/>
        </w:rPr>
        <w:t>注：</w:t>
      </w:r>
    </w:p>
    <w:p w14:paraId="4715D01A">
      <w:pPr>
        <w:tabs>
          <w:tab w:val="left" w:pos="312"/>
        </w:tabs>
        <w:rPr>
          <w:rFonts w:ascii="Times New Roman" w:hAnsi="Times New Roman" w:eastAsia="宋体" w:cs="Times New Roman"/>
          <w:color w:val="FF0000"/>
          <w:sz w:val="24"/>
        </w:rPr>
      </w:pPr>
      <w:r>
        <w:rPr>
          <w:rFonts w:hint="eastAsia" w:ascii="Times New Roman" w:hAnsi="Times New Roman" w:eastAsia="宋体" w:cs="Times New Roman"/>
          <w:color w:val="FF0000"/>
          <w:sz w:val="24"/>
        </w:rPr>
        <w:t>A.个人培养计划已选学分的统计要满足培养方案学分要求才能成功进行提交。</w:t>
      </w:r>
    </w:p>
    <w:p w14:paraId="5231B1D1">
      <w:pPr>
        <w:tabs>
          <w:tab w:val="left" w:pos="312"/>
        </w:tabs>
        <w:rPr>
          <w:rFonts w:ascii="Times New Roman" w:hAnsi="Times New Roman" w:eastAsia="宋体" w:cs="Times New Roman"/>
          <w:sz w:val="24"/>
        </w:rPr>
      </w:pPr>
      <w:r>
        <w:drawing>
          <wp:inline distT="0" distB="0" distL="114300" distR="114300">
            <wp:extent cx="5272405" cy="2630805"/>
            <wp:effectExtent l="0" t="0" r="635" b="571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8" cstate="print"/>
                    <a:stretch>
                      <a:fillRect/>
                    </a:stretch>
                  </pic:blipFill>
                  <pic:spPr>
                    <a:xfrm>
                      <a:off x="0" y="0"/>
                      <a:ext cx="5272405" cy="2630805"/>
                    </a:xfrm>
                    <a:prstGeom prst="rect">
                      <a:avLst/>
                    </a:prstGeom>
                    <a:noFill/>
                    <a:ln>
                      <a:noFill/>
                    </a:ln>
                  </pic:spPr>
                </pic:pic>
              </a:graphicData>
            </a:graphic>
          </wp:inline>
        </w:drawing>
      </w:r>
    </w:p>
    <w:p w14:paraId="4053B6C3">
      <w:pPr>
        <w:tabs>
          <w:tab w:val="left" w:pos="312"/>
        </w:tabs>
        <w:rPr>
          <w:rFonts w:ascii="Times New Roman" w:hAnsi="Times New Roman" w:eastAsia="宋体" w:cs="Times New Roman"/>
          <w:sz w:val="24"/>
        </w:rPr>
      </w:pPr>
    </w:p>
    <w:p w14:paraId="19B604A8">
      <w:pPr>
        <w:numPr>
          <w:ilvl w:val="0"/>
          <w:numId w:val="3"/>
        </w:numPr>
        <w:rPr>
          <w:rFonts w:ascii="Times New Roman" w:hAnsi="Times New Roman" w:eastAsia="宋体" w:cs="Times New Roman"/>
          <w:sz w:val="24"/>
        </w:rPr>
      </w:pPr>
      <w:r>
        <w:rPr>
          <w:rFonts w:hint="eastAsia" w:ascii="Times New Roman" w:hAnsi="Times New Roman" w:eastAsia="宋体" w:cs="Times New Roman"/>
          <w:sz w:val="24"/>
        </w:rPr>
        <w:t>点击“本专业选课”，基于本专业培养方案选择培养计划，培养方案中的必修课会自动初始化过来。</w:t>
      </w:r>
    </w:p>
    <w:p w14:paraId="2146080D">
      <w:pPr>
        <w:tabs>
          <w:tab w:val="left" w:pos="312"/>
        </w:tabs>
        <w:rPr>
          <w:rFonts w:ascii="Times New Roman" w:hAnsi="Times New Roman" w:eastAsia="宋体" w:cs="Times New Roman"/>
          <w:color w:val="FF0000"/>
          <w:sz w:val="24"/>
        </w:rPr>
      </w:pPr>
      <w:r>
        <w:rPr>
          <w:rFonts w:hint="eastAsia" w:ascii="Times New Roman" w:hAnsi="Times New Roman" w:eastAsia="宋体" w:cs="Times New Roman"/>
          <w:color w:val="FF0000"/>
          <w:sz w:val="24"/>
        </w:rPr>
        <w:t>培养计划维护过程中关注点：</w:t>
      </w:r>
    </w:p>
    <w:p w14:paraId="3DD15B4E">
      <w:pPr>
        <w:numPr>
          <w:ilvl w:val="0"/>
          <w:numId w:val="4"/>
        </w:numPr>
        <w:rPr>
          <w:rFonts w:ascii="Times New Roman" w:hAnsi="Times New Roman" w:eastAsia="宋体" w:cs="Times New Roman"/>
          <w:color w:val="FF0000"/>
          <w:sz w:val="24"/>
        </w:rPr>
      </w:pPr>
      <w:r>
        <w:rPr>
          <w:rFonts w:hint="eastAsia" w:ascii="Times New Roman" w:hAnsi="Times New Roman" w:eastAsia="宋体" w:cs="Times New Roman"/>
          <w:color w:val="FF0000"/>
          <w:sz w:val="24"/>
        </w:rPr>
        <w:t>各课程类别维护要满足学分要求。</w:t>
      </w:r>
    </w:p>
    <w:p w14:paraId="4232AFAB">
      <w:pPr>
        <w:numPr>
          <w:ilvl w:val="0"/>
          <w:numId w:val="4"/>
        </w:numPr>
        <w:rPr>
          <w:rFonts w:ascii="Times New Roman" w:hAnsi="Times New Roman" w:eastAsia="宋体" w:cs="Times New Roman"/>
          <w:color w:val="FF0000"/>
          <w:sz w:val="24"/>
        </w:rPr>
      </w:pPr>
      <w:r>
        <w:rPr>
          <w:rFonts w:hint="eastAsia" w:ascii="Times New Roman" w:hAnsi="Times New Roman" w:eastAsia="宋体" w:cs="Times New Roman"/>
          <w:color w:val="FF0000"/>
          <w:sz w:val="24"/>
        </w:rPr>
        <w:t>培养计划维护要满足多选组要求。</w:t>
      </w:r>
    </w:p>
    <w:p w14:paraId="18FFEB92">
      <w:pPr>
        <w:numPr>
          <w:ilvl w:val="0"/>
          <w:numId w:val="4"/>
        </w:numPr>
        <w:rPr>
          <w:rFonts w:ascii="Times New Roman" w:hAnsi="Times New Roman" w:eastAsia="宋体" w:cs="Times New Roman"/>
          <w:color w:val="FF0000"/>
          <w:sz w:val="24"/>
        </w:rPr>
      </w:pPr>
      <w:r>
        <w:rPr>
          <w:rFonts w:hint="eastAsia" w:ascii="Times New Roman" w:hAnsi="Times New Roman" w:eastAsia="宋体" w:cs="Times New Roman"/>
          <w:color w:val="FF0000"/>
          <w:sz w:val="24"/>
        </w:rPr>
        <w:t>一级学科方案学生，维护过程中要关注‘多选组’‘备注’字段中关于不同方向的维护要求。</w:t>
      </w:r>
    </w:p>
    <w:p w14:paraId="309CBD0A">
      <w:pPr>
        <w:tabs>
          <w:tab w:val="left" w:pos="312"/>
        </w:tabs>
        <w:rPr>
          <w:rFonts w:ascii="Times New Roman" w:hAnsi="Times New Roman" w:eastAsia="宋体" w:cs="Times New Roman"/>
          <w:sz w:val="24"/>
        </w:rPr>
      </w:pPr>
      <w:r>
        <w:drawing>
          <wp:inline distT="0" distB="0" distL="114300" distR="114300">
            <wp:extent cx="5272405" cy="2630805"/>
            <wp:effectExtent l="0" t="0" r="635" b="571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9" cstate="print"/>
                    <a:stretch>
                      <a:fillRect/>
                    </a:stretch>
                  </pic:blipFill>
                  <pic:spPr>
                    <a:xfrm>
                      <a:off x="0" y="0"/>
                      <a:ext cx="5272405" cy="2630805"/>
                    </a:xfrm>
                    <a:prstGeom prst="rect">
                      <a:avLst/>
                    </a:prstGeom>
                    <a:noFill/>
                    <a:ln>
                      <a:noFill/>
                    </a:ln>
                  </pic:spPr>
                </pic:pic>
              </a:graphicData>
            </a:graphic>
          </wp:inline>
        </w:drawing>
      </w:r>
    </w:p>
    <w:p w14:paraId="36F1061B">
      <w:pPr>
        <w:numPr>
          <w:ilvl w:val="0"/>
          <w:numId w:val="3"/>
        </w:numPr>
        <w:rPr>
          <w:rFonts w:hint="eastAsia" w:ascii="微软雅黑" w:hAnsi="微软雅黑" w:eastAsia="微软雅黑" w:cs="微软雅黑"/>
          <w:b/>
          <w:bCs/>
          <w:color w:val="C00000"/>
          <w:sz w:val="24"/>
        </w:rPr>
      </w:pPr>
      <w:r>
        <w:rPr>
          <w:rFonts w:hint="eastAsia" w:ascii="Times New Roman" w:hAnsi="Times New Roman" w:eastAsia="宋体" w:cs="Times New Roman"/>
          <w:sz w:val="24"/>
        </w:rPr>
        <w:t>点击“提交审核”按钮，提交个人培养计划。</w:t>
      </w:r>
      <w:r>
        <w:rPr>
          <w:rFonts w:hint="eastAsia" w:ascii="微软雅黑" w:hAnsi="微软雅黑" w:eastAsia="微软雅黑" w:cs="微软雅黑"/>
          <w:b/>
          <w:bCs/>
          <w:color w:val="C00000"/>
          <w:sz w:val="24"/>
        </w:rPr>
        <w:t>（如还不能完全确定计划可以不提交，不影响选课）</w:t>
      </w:r>
    </w:p>
    <w:p w14:paraId="0BA52672">
      <w:pPr>
        <w:tabs>
          <w:tab w:val="left" w:pos="312"/>
        </w:tabs>
        <w:rPr>
          <w:rFonts w:ascii="Times New Roman" w:hAnsi="Times New Roman" w:eastAsia="宋体" w:cs="Times New Roman"/>
          <w:sz w:val="24"/>
        </w:rPr>
      </w:pPr>
    </w:p>
    <w:p w14:paraId="4771FD5D">
      <w:pPr>
        <w:tabs>
          <w:tab w:val="left" w:pos="312"/>
        </w:tabs>
        <w:rPr>
          <w:rFonts w:ascii="Times New Roman" w:hAnsi="Times New Roman" w:eastAsia="宋体" w:cs="Times New Roman"/>
          <w:sz w:val="24"/>
        </w:rPr>
      </w:pPr>
    </w:p>
    <w:p w14:paraId="22E98345">
      <w:pPr>
        <w:tabs>
          <w:tab w:val="left" w:pos="312"/>
        </w:tabs>
        <w:rPr>
          <w:rFonts w:ascii="Times New Roman" w:hAnsi="Times New Roman" w:eastAsia="宋体" w:cs="Times New Roman"/>
          <w:sz w:val="24"/>
        </w:rPr>
      </w:pPr>
    </w:p>
    <w:p w14:paraId="07648AE2">
      <w:pPr>
        <w:tabs>
          <w:tab w:val="left" w:pos="312"/>
        </w:tabs>
        <w:rPr>
          <w:rFonts w:ascii="Times New Roman" w:hAnsi="Times New Roman" w:eastAsia="宋体" w:cs="Times New Roman"/>
          <w:sz w:val="24"/>
        </w:rPr>
      </w:pPr>
    </w:p>
    <w:p w14:paraId="3C1AC299">
      <w:pPr>
        <w:numPr>
          <w:ilvl w:val="0"/>
          <w:numId w:val="3"/>
        </w:numPr>
        <w:rPr>
          <w:rFonts w:ascii="Times New Roman" w:hAnsi="Times New Roman" w:eastAsia="宋体" w:cs="Times New Roman"/>
          <w:sz w:val="24"/>
        </w:rPr>
      </w:pPr>
      <w:r>
        <w:rPr>
          <w:rFonts w:hint="eastAsia" w:ascii="Times New Roman" w:hAnsi="Times New Roman" w:eastAsia="宋体" w:cs="Times New Roman"/>
          <w:sz w:val="24"/>
        </w:rPr>
        <w:t>点击“外专业课程”按钮，进行跨专业选择其他专业课程。</w:t>
      </w:r>
    </w:p>
    <w:p w14:paraId="00C028B8">
      <w:pPr>
        <w:tabs>
          <w:tab w:val="left" w:pos="312"/>
        </w:tabs>
        <w:rPr>
          <w:rFonts w:ascii="Times New Roman" w:hAnsi="Times New Roman" w:eastAsia="宋体" w:cs="Times New Roman"/>
          <w:sz w:val="24"/>
        </w:rPr>
      </w:pPr>
      <w:r>
        <w:rPr>
          <w:rFonts w:ascii="Times New Roman" w:hAnsi="Times New Roman" w:eastAsia="宋体" w:cs="Times New Roman"/>
          <w:sz w:val="24"/>
        </w:rPr>
        <w:t>查询所需要跨选的方案</w:t>
      </w:r>
      <w:r>
        <w:rPr>
          <w:rFonts w:hint="eastAsia" w:ascii="Times New Roman" w:hAnsi="Times New Roman" w:eastAsia="宋体" w:cs="Times New Roman"/>
          <w:sz w:val="24"/>
        </w:rPr>
        <w:t>，点击查询到方案内肯定，进行选择。</w:t>
      </w:r>
    </w:p>
    <w:p w14:paraId="090ACCF6">
      <w:pPr>
        <w:tabs>
          <w:tab w:val="left" w:pos="312"/>
        </w:tabs>
        <w:rPr>
          <w:rFonts w:ascii="Times New Roman" w:hAnsi="Times New Roman" w:eastAsia="宋体" w:cs="Times New Roman"/>
          <w:sz w:val="24"/>
        </w:rPr>
      </w:pPr>
      <w:r>
        <w:drawing>
          <wp:inline distT="0" distB="0" distL="114300" distR="114300">
            <wp:extent cx="5272405" cy="2630805"/>
            <wp:effectExtent l="0" t="0" r="635" b="571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10" cstate="print"/>
                    <a:stretch>
                      <a:fillRect/>
                    </a:stretch>
                  </pic:blipFill>
                  <pic:spPr>
                    <a:xfrm>
                      <a:off x="0" y="0"/>
                      <a:ext cx="5272405" cy="2630805"/>
                    </a:xfrm>
                    <a:prstGeom prst="rect">
                      <a:avLst/>
                    </a:prstGeom>
                    <a:noFill/>
                    <a:ln>
                      <a:noFill/>
                    </a:ln>
                  </pic:spPr>
                </pic:pic>
              </a:graphicData>
            </a:graphic>
          </wp:inline>
        </w:drawing>
      </w:r>
    </w:p>
    <w:p w14:paraId="4C87E373">
      <w:pPr>
        <w:tabs>
          <w:tab w:val="left" w:pos="312"/>
        </w:tabs>
        <w:rPr>
          <w:rFonts w:ascii="Times New Roman" w:hAnsi="Times New Roman" w:eastAsia="宋体" w:cs="Times New Roman"/>
          <w:sz w:val="24"/>
        </w:rPr>
      </w:pPr>
    </w:p>
    <w:p w14:paraId="047FD842">
      <w:pPr>
        <w:rPr>
          <w:rFonts w:ascii="Times New Roman" w:hAnsi="Times New Roman" w:eastAsia="宋体" w:cs="Times New Roman"/>
          <w:sz w:val="24"/>
        </w:rPr>
      </w:pPr>
    </w:p>
    <w:p w14:paraId="603A9B70">
      <w:pPr>
        <w:numPr>
          <w:ilvl w:val="0"/>
          <w:numId w:val="1"/>
        </w:numPr>
        <w:rPr>
          <w:b/>
          <w:bCs/>
          <w:sz w:val="32"/>
          <w:szCs w:val="32"/>
        </w:rPr>
      </w:pPr>
      <w:r>
        <w:rPr>
          <w:rFonts w:hint="eastAsia"/>
          <w:b/>
          <w:bCs/>
          <w:sz w:val="32"/>
          <w:szCs w:val="32"/>
        </w:rPr>
        <w:t>学生选课</w:t>
      </w:r>
      <w:bookmarkStart w:id="0" w:name="_GoBack"/>
      <w:bookmarkEnd w:id="0"/>
    </w:p>
    <w:p w14:paraId="795FBE98">
      <w:pPr>
        <w:pStyle w:val="8"/>
        <w:numPr>
          <w:ilvl w:val="0"/>
          <w:numId w:val="5"/>
        </w:numPr>
        <w:ind w:firstLineChars="0"/>
      </w:pPr>
      <w:r>
        <w:rPr>
          <w:rFonts w:hint="eastAsia"/>
        </w:rPr>
        <w:t>点击“我的选课”，进入选课页面。</w:t>
      </w:r>
    </w:p>
    <w:p w14:paraId="6441936D">
      <w:pPr>
        <w:rPr>
          <w:rFonts w:eastAsia="宋体" w:asciiTheme="minorEastAsia" w:hAnsiTheme="minorEastAsia" w:cstheme="minorEastAsia"/>
          <w:color w:val="FF0000"/>
          <w:sz w:val="24"/>
        </w:rPr>
      </w:pPr>
      <w:r>
        <w:rPr>
          <w:rFonts w:hint="eastAsia" w:eastAsia="宋体" w:asciiTheme="minorEastAsia" w:hAnsiTheme="minorEastAsia" w:cstheme="minorEastAsia"/>
          <w:color w:val="FF0000"/>
          <w:sz w:val="24"/>
        </w:rPr>
        <w:t>注意：研究生选课（选教学班）是基于个人培养计划内的课程进行对应课程上课班级的选择，即选教学班。是要先将要选的课程维护到个人培养计划内</w:t>
      </w:r>
      <w:r>
        <w:rPr>
          <w:rFonts w:hint="eastAsia" w:ascii="微软雅黑" w:hAnsi="微软雅黑" w:eastAsia="微软雅黑" w:cs="微软雅黑"/>
          <w:b/>
          <w:bCs/>
          <w:color w:val="C00000"/>
          <w:sz w:val="24"/>
        </w:rPr>
        <w:t>（在培养计划不提交的情况下也可进行选教学班）</w:t>
      </w:r>
      <w:r>
        <w:rPr>
          <w:rFonts w:hint="eastAsia" w:eastAsia="宋体" w:asciiTheme="minorEastAsia" w:hAnsiTheme="minorEastAsia" w:cstheme="minorEastAsia"/>
          <w:color w:val="FF0000"/>
          <w:sz w:val="24"/>
        </w:rPr>
        <w:t>，如果发现某些课的教学班选不到，要先检查课程是否在个人培养计划内。</w:t>
      </w:r>
    </w:p>
    <w:p w14:paraId="4B26891E">
      <w:r>
        <w:drawing>
          <wp:inline distT="0" distB="0" distL="114300" distR="114300">
            <wp:extent cx="5270500" cy="2555240"/>
            <wp:effectExtent l="0" t="0" r="2540" b="508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11" cstate="print"/>
                    <a:stretch>
                      <a:fillRect/>
                    </a:stretch>
                  </pic:blipFill>
                  <pic:spPr>
                    <a:xfrm>
                      <a:off x="0" y="0"/>
                      <a:ext cx="5270500" cy="2555240"/>
                    </a:xfrm>
                    <a:prstGeom prst="rect">
                      <a:avLst/>
                    </a:prstGeom>
                    <a:noFill/>
                    <a:ln>
                      <a:noFill/>
                    </a:ln>
                  </pic:spPr>
                </pic:pic>
              </a:graphicData>
            </a:graphic>
          </wp:inline>
        </w:drawing>
      </w:r>
    </w:p>
    <w:p w14:paraId="3AC44303"/>
    <w:p w14:paraId="5623AA8D"/>
    <w:p w14:paraId="687C1EA7"/>
    <w:p w14:paraId="629A92F0"/>
    <w:p w14:paraId="78259009"/>
    <w:p w14:paraId="7B973DA7"/>
    <w:p w14:paraId="4508009C"/>
    <w:p w14:paraId="5A4528A3"/>
    <w:p w14:paraId="131BC219"/>
    <w:p w14:paraId="5705F2E0">
      <w:pPr>
        <w:numPr>
          <w:ilvl w:val="0"/>
          <w:numId w:val="5"/>
        </w:numPr>
        <w:rPr>
          <w:rFonts w:asciiTheme="minorEastAsia" w:hAnsiTheme="minorEastAsia" w:cstheme="minorEastAsia"/>
          <w:sz w:val="24"/>
        </w:rPr>
      </w:pPr>
      <w:r>
        <w:rPr>
          <w:rFonts w:hint="eastAsia" w:asciiTheme="minorEastAsia" w:hAnsiTheme="minorEastAsia" w:cstheme="minorEastAsia"/>
          <w:sz w:val="24"/>
        </w:rPr>
        <w:t>计划内课程（选专业课），</w:t>
      </w:r>
      <w:r>
        <w:rPr>
          <w:rFonts w:asciiTheme="minorEastAsia" w:hAnsiTheme="minorEastAsia" w:cstheme="minorEastAsia"/>
          <w:sz w:val="24"/>
        </w:rPr>
        <w:t>点击</w:t>
      </w:r>
      <w:r>
        <w:rPr>
          <w:rFonts w:hint="eastAsia" w:asciiTheme="minorEastAsia" w:hAnsiTheme="minorEastAsia" w:cstheme="minorEastAsia"/>
          <w:sz w:val="24"/>
        </w:rPr>
        <w:t>对应</w:t>
      </w:r>
      <w:r>
        <w:rPr>
          <w:rFonts w:asciiTheme="minorEastAsia" w:hAnsiTheme="minorEastAsia" w:cstheme="minorEastAsia"/>
          <w:sz w:val="24"/>
        </w:rPr>
        <w:t>课程的选课按钮</w:t>
      </w:r>
      <w:r>
        <w:rPr>
          <w:rFonts w:hint="eastAsia" w:asciiTheme="minorEastAsia" w:hAnsiTheme="minorEastAsia" w:cstheme="minorEastAsia"/>
          <w:sz w:val="24"/>
        </w:rPr>
        <w:t>，进行</w:t>
      </w:r>
      <w:r>
        <w:rPr>
          <w:rFonts w:asciiTheme="minorEastAsia" w:hAnsiTheme="minorEastAsia" w:cstheme="minorEastAsia"/>
          <w:sz w:val="24"/>
        </w:rPr>
        <w:t>选课</w:t>
      </w:r>
      <w:r>
        <w:rPr>
          <w:rFonts w:hint="eastAsia" w:asciiTheme="minorEastAsia" w:hAnsiTheme="minorEastAsia" w:cstheme="minorEastAsia"/>
          <w:sz w:val="24"/>
        </w:rPr>
        <w:t>。</w:t>
      </w:r>
    </w:p>
    <w:p w14:paraId="47F3D69A">
      <w:r>
        <w:drawing>
          <wp:inline distT="0" distB="0" distL="114300" distR="114300">
            <wp:extent cx="5271770" cy="2440940"/>
            <wp:effectExtent l="0" t="0" r="1270" b="1270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12" cstate="print"/>
                    <a:stretch>
                      <a:fillRect/>
                    </a:stretch>
                  </pic:blipFill>
                  <pic:spPr>
                    <a:xfrm>
                      <a:off x="0" y="0"/>
                      <a:ext cx="5271770" cy="2440940"/>
                    </a:xfrm>
                    <a:prstGeom prst="rect">
                      <a:avLst/>
                    </a:prstGeom>
                    <a:noFill/>
                    <a:ln>
                      <a:noFill/>
                    </a:ln>
                  </pic:spPr>
                </pic:pic>
              </a:graphicData>
            </a:graphic>
          </wp:inline>
        </w:drawing>
      </w:r>
    </w:p>
    <w:p w14:paraId="330478BA">
      <w:pPr>
        <w:numPr>
          <w:ilvl w:val="0"/>
          <w:numId w:val="5"/>
        </w:numPr>
      </w:pPr>
      <w:r>
        <w:rPr>
          <w:rFonts w:hint="eastAsia"/>
          <w:color w:val="FF0000"/>
        </w:rPr>
        <w:t>公选课（选公共选修课），研究生“公共选修课”类别课程可以直接登录选课系统选择教学班，不需要先在个人培养计划中添加课程。研究生在选课系统选择教学班后系统会自动将课程添加到学生的个人培养计划中</w:t>
      </w:r>
    </w:p>
    <w:p w14:paraId="2F9CFBD8">
      <w:r>
        <w:drawing>
          <wp:inline distT="0" distB="0" distL="114300" distR="114300">
            <wp:extent cx="5262245" cy="2437130"/>
            <wp:effectExtent l="0" t="0" r="10795" b="1270"/>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pic:cNvPicPr>
                      <a:picLocks noChangeAspect="1"/>
                    </pic:cNvPicPr>
                  </pic:nvPicPr>
                  <pic:blipFill>
                    <a:blip r:embed="rId13" cstate="print"/>
                    <a:stretch>
                      <a:fillRect/>
                    </a:stretch>
                  </pic:blipFill>
                  <pic:spPr>
                    <a:xfrm>
                      <a:off x="0" y="0"/>
                      <a:ext cx="5262245" cy="2437130"/>
                    </a:xfrm>
                    <a:prstGeom prst="rect">
                      <a:avLst/>
                    </a:prstGeom>
                    <a:noFill/>
                    <a:ln>
                      <a:noFill/>
                    </a:ln>
                  </pic:spPr>
                </pic:pic>
              </a:graphicData>
            </a:graphic>
          </wp:inline>
        </w:drawing>
      </w:r>
    </w:p>
    <w:p w14:paraId="19BD3BDE">
      <w:pPr>
        <w:numPr>
          <w:ilvl w:val="0"/>
          <w:numId w:val="5"/>
        </w:numPr>
      </w:pPr>
      <w:r>
        <w:rPr>
          <w:rFonts w:hint="eastAsia" w:asciiTheme="minorEastAsia" w:hAnsiTheme="minorEastAsia" w:cstheme="minorEastAsia"/>
          <w:sz w:val="24"/>
        </w:rPr>
        <w:t>已选课程中查看已经选到的课程教学班，同时在该页面可以对已选的课程进行退选。</w:t>
      </w:r>
      <w:r>
        <w:rPr>
          <w:rFonts w:hint="eastAsia" w:asciiTheme="minorEastAsia" w:hAnsiTheme="minorEastAsia" w:cstheme="minorEastAsia"/>
          <w:color w:val="FF0000"/>
          <w:sz w:val="24"/>
        </w:rPr>
        <w:t>（已选课程内的专业类课程不允许进行退课操作，退课后将无法重新选择）</w:t>
      </w:r>
    </w:p>
    <w:p w14:paraId="1D268230">
      <w:r>
        <w:rPr>
          <w:rFonts w:hint="eastAsia" w:asciiTheme="minorEastAsia" w:hAnsiTheme="minorEastAsia" w:cstheme="minorEastAsia"/>
          <w:sz w:val="24"/>
        </w:rPr>
        <w:t xml:space="preserve">        </w:t>
      </w:r>
      <w:r>
        <w:drawing>
          <wp:inline distT="0" distB="0" distL="114300" distR="114300">
            <wp:extent cx="5269230" cy="2273300"/>
            <wp:effectExtent l="0" t="0" r="3810" b="12700"/>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pic:cNvPicPr>
                      <a:picLocks noChangeAspect="1"/>
                    </pic:cNvPicPr>
                  </pic:nvPicPr>
                  <pic:blipFill>
                    <a:blip r:embed="rId14" cstate="print"/>
                    <a:stretch>
                      <a:fillRect/>
                    </a:stretch>
                  </pic:blipFill>
                  <pic:spPr>
                    <a:xfrm>
                      <a:off x="0" y="0"/>
                      <a:ext cx="5269230" cy="2273300"/>
                    </a:xfrm>
                    <a:prstGeom prst="rect">
                      <a:avLst/>
                    </a:prstGeom>
                    <a:noFill/>
                    <a:ln>
                      <a:noFill/>
                    </a:ln>
                  </pic:spPr>
                </pic:pic>
              </a:graphicData>
            </a:graphic>
          </wp:inline>
        </w:drawing>
      </w:r>
      <w:r>
        <w:rPr>
          <w:rFonts w:hint="eastAsia"/>
        </w:rPr>
        <w:t xml:space="preserve">  </w:t>
      </w:r>
    </w:p>
    <w:p w14:paraId="2AFC6992">
      <w:pPr>
        <w:rPr>
          <w:rFonts w:ascii="Times New Roman" w:hAnsi="Times New Roman" w:eastAsia="宋体" w:cs="Times New Roman"/>
          <w:sz w:val="24"/>
        </w:rPr>
      </w:pPr>
    </w:p>
    <w:p w14:paraId="2BBEEDA1">
      <w:r>
        <w:rPr>
          <w:rFonts w:ascii="Times New Roman" w:hAnsi="Times New Roman" w:eastAsia="宋体" w:cs="Times New Roman"/>
          <w:sz w:val="24"/>
        </w:rPr>
        <w:t>4</w:t>
      </w:r>
      <w:r>
        <w:rPr>
          <w:rFonts w:hint="eastAsia" w:ascii="Times New Roman" w:hAnsi="Times New Roman" w:eastAsia="宋体" w:cs="Times New Roman"/>
          <w:sz w:val="24"/>
        </w:rPr>
        <w:t>.已开课程查询，以及选课资格条件的校验。</w:t>
      </w:r>
    </w:p>
    <w:p w14:paraId="392FE112">
      <w:r>
        <w:drawing>
          <wp:inline distT="0" distB="0" distL="114300" distR="114300">
            <wp:extent cx="5262245" cy="2555240"/>
            <wp:effectExtent l="0" t="0" r="10795" b="5080"/>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15" cstate="print"/>
                    <a:stretch>
                      <a:fillRect/>
                    </a:stretch>
                  </pic:blipFill>
                  <pic:spPr>
                    <a:xfrm>
                      <a:off x="0" y="0"/>
                      <a:ext cx="5262245" cy="2555240"/>
                    </a:xfrm>
                    <a:prstGeom prst="rect">
                      <a:avLst/>
                    </a:prstGeom>
                    <a:noFill/>
                    <a:ln>
                      <a:noFill/>
                    </a:ln>
                  </pic:spPr>
                </pic:pic>
              </a:graphicData>
            </a:graphic>
          </wp:inline>
        </w:drawing>
      </w:r>
    </w:p>
    <w:p w14:paraId="5A7B0F7A">
      <w:pPr>
        <w:numPr>
          <w:ilvl w:val="0"/>
          <w:numId w:val="1"/>
        </w:numPr>
        <w:rPr>
          <w:b/>
          <w:bCs/>
          <w:sz w:val="32"/>
          <w:szCs w:val="32"/>
        </w:rPr>
      </w:pPr>
      <w:r>
        <w:rPr>
          <w:rFonts w:hint="eastAsia"/>
          <w:b/>
          <w:bCs/>
          <w:sz w:val="32"/>
          <w:szCs w:val="32"/>
        </w:rPr>
        <w:t>导航功能</w:t>
      </w:r>
    </w:p>
    <w:p w14:paraId="749B9663">
      <w:pPr>
        <w:numPr>
          <w:ilvl w:val="0"/>
          <w:numId w:val="6"/>
        </w:numPr>
        <w:rPr>
          <w:rFonts w:ascii="Times New Roman" w:hAnsi="Times New Roman" w:eastAsia="宋体" w:cs="Times New Roman"/>
          <w:sz w:val="24"/>
        </w:rPr>
      </w:pPr>
      <w:r>
        <w:rPr>
          <w:rFonts w:ascii="Times New Roman" w:hAnsi="Times New Roman" w:eastAsia="宋体" w:cs="Times New Roman"/>
          <w:sz w:val="24"/>
        </w:rPr>
        <w:t>点击屏幕右侧图标</w:t>
      </w:r>
      <w:r>
        <w:rPr>
          <w:rFonts w:hint="eastAsia" w:ascii="Times New Roman" w:hAnsi="Times New Roman" w:eastAsia="宋体" w:cs="Times New Roman"/>
          <w:sz w:val="24"/>
        </w:rPr>
        <w:t>，可以</w:t>
      </w:r>
      <w:r>
        <w:rPr>
          <w:rFonts w:ascii="Times New Roman" w:hAnsi="Times New Roman" w:eastAsia="宋体" w:cs="Times New Roman"/>
          <w:sz w:val="24"/>
        </w:rPr>
        <w:t>回到主页</w:t>
      </w:r>
      <w:r>
        <w:rPr>
          <w:rFonts w:hint="eastAsia" w:ascii="Times New Roman" w:hAnsi="Times New Roman" w:eastAsia="宋体" w:cs="Times New Roman"/>
          <w:sz w:val="24"/>
        </w:rPr>
        <w:t>，可以查看我的课表以及退课日志。</w:t>
      </w:r>
    </w:p>
    <w:p w14:paraId="4515DC6A">
      <w:r>
        <w:drawing>
          <wp:inline distT="0" distB="0" distL="114300" distR="114300">
            <wp:extent cx="5268595" cy="2317750"/>
            <wp:effectExtent l="0" t="0" r="4445" b="13970"/>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16" cstate="print"/>
                    <a:stretch>
                      <a:fillRect/>
                    </a:stretch>
                  </pic:blipFill>
                  <pic:spPr>
                    <a:xfrm>
                      <a:off x="0" y="0"/>
                      <a:ext cx="5268595" cy="2317750"/>
                    </a:xfrm>
                    <a:prstGeom prst="rect">
                      <a:avLst/>
                    </a:prstGeom>
                    <a:noFill/>
                    <a:ln>
                      <a:noFill/>
                    </a:ln>
                  </pic:spPr>
                </pic:pic>
              </a:graphicData>
            </a:graphic>
          </wp:inline>
        </w:drawing>
      </w:r>
    </w:p>
    <w:p w14:paraId="7F85FF9F"/>
    <w:p w14:paraId="48084B9B">
      <w:pPr>
        <w:ind w:firstLine="3780" w:firstLineChars="1800"/>
        <w:rPr>
          <w:sz w:val="32"/>
          <w:szCs w:val="32"/>
        </w:rPr>
      </w:pPr>
      <w:r>
        <w:rPr/>
        <w:sym w:font="Wingdings" w:char="F0DF"/>
      </w:r>
      <w:r>
        <w:t>END</w:t>
      </w:r>
      <w:r>
        <w:rPr/>
        <w:sym w:font="Wingdings" w:char="F0E0"/>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A0BC56">
    <w:pPr>
      <w:pStyle w:val="3"/>
    </w:pPr>
    <w:r>
      <w:pict>
        <v:shape id="文本框 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v:path/>
          <v:fill on="f" focussize="0,0"/>
          <v:stroke on="f" weight="0.5pt" joinstyle="miter"/>
          <v:imagedata o:title=""/>
          <o:lock v:ext="edit"/>
          <v:textbox inset="0mm,0mm,0mm,0mm" style="mso-fit-shape-to-text:t;">
            <w:txbxContent>
              <w:p w14:paraId="3F94C317">
                <w:pPr>
                  <w:pStyle w:val="3"/>
                </w:pPr>
                <w:r>
                  <w:rPr>
                    <w:rFonts w:hint="eastAsia"/>
                  </w:rPr>
                  <w:fldChar w:fldCharType="begin"/>
                </w:r>
                <w:r>
                  <w:rPr>
                    <w:rFonts w:hint="eastAsia"/>
                  </w:rPr>
                  <w:instrText xml:space="preserve"> PAGE  \* MERGEFORMAT </w:instrText>
                </w:r>
                <w:r>
                  <w:rPr>
                    <w:rFonts w:hint="eastAsia"/>
                  </w:rPr>
                  <w:fldChar w:fldCharType="separate"/>
                </w:r>
                <w:r>
                  <w:t>5</w:t>
                </w:r>
                <w:r>
                  <w:rPr>
                    <w:rFonts w:hint="eastAsia"/>
                  </w:rPr>
                  <w:fldChar w:fldCharType="end"/>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CC7E8F8"/>
    <w:multiLevelType w:val="singleLevel"/>
    <w:tmpl w:val="9CC7E8F8"/>
    <w:lvl w:ilvl="0" w:tentative="0">
      <w:start w:val="1"/>
      <w:numFmt w:val="decimal"/>
      <w:suff w:val="nothing"/>
      <w:lvlText w:val="%1、"/>
      <w:lvlJc w:val="left"/>
    </w:lvl>
  </w:abstractNum>
  <w:abstractNum w:abstractNumId="1">
    <w:nsid w:val="A4C503ED"/>
    <w:multiLevelType w:val="singleLevel"/>
    <w:tmpl w:val="A4C503ED"/>
    <w:lvl w:ilvl="0" w:tentative="0">
      <w:start w:val="1"/>
      <w:numFmt w:val="decimal"/>
      <w:lvlText w:val="%1."/>
      <w:lvlJc w:val="left"/>
      <w:pPr>
        <w:tabs>
          <w:tab w:val="left" w:pos="312"/>
        </w:tabs>
      </w:pPr>
    </w:lvl>
  </w:abstractNum>
  <w:abstractNum w:abstractNumId="2">
    <w:nsid w:val="F0529482"/>
    <w:multiLevelType w:val="singleLevel"/>
    <w:tmpl w:val="F0529482"/>
    <w:lvl w:ilvl="0" w:tentative="0">
      <w:start w:val="1"/>
      <w:numFmt w:val="decimal"/>
      <w:suff w:val="space"/>
      <w:lvlText w:val="%1."/>
      <w:lvlJc w:val="left"/>
    </w:lvl>
  </w:abstractNum>
  <w:abstractNum w:abstractNumId="3">
    <w:nsid w:val="5BB97F2B"/>
    <w:multiLevelType w:val="multilevel"/>
    <w:tmpl w:val="5BB97F2B"/>
    <w:lvl w:ilvl="0" w:tentative="0">
      <w:start w:val="1"/>
      <w:numFmt w:val="decimal"/>
      <w:lvlText w:val="%1."/>
      <w:lvlJc w:val="left"/>
      <w:pPr>
        <w:ind w:left="360" w:hanging="360"/>
      </w:pPr>
      <w:rPr>
        <w:rFonts w:hint="default" w:asciiTheme="minorEastAsia" w:hAnsiTheme="minorEastAsia" w:eastAsiaTheme="minorEastAsia" w:cstheme="minor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5D6C3661"/>
    <w:multiLevelType w:val="multilevel"/>
    <w:tmpl w:val="5D6C3661"/>
    <w:lvl w:ilvl="0" w:tentative="0">
      <w:start w:val="1"/>
      <w:numFmt w:val="upp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714549FC"/>
    <w:multiLevelType w:val="singleLevel"/>
    <w:tmpl w:val="714549FC"/>
    <w:lvl w:ilvl="0" w:tentative="0">
      <w:start w:val="1"/>
      <w:numFmt w:val="chineseCounting"/>
      <w:suff w:val="nothing"/>
      <w:lvlText w:val="%1、"/>
      <w:lvlJc w:val="left"/>
      <w:rPr>
        <w:rFonts w:hint="eastAsia"/>
      </w:rPr>
    </w:lvl>
  </w:abstractNum>
  <w:num w:numId="1">
    <w:abstractNumId w:val="5"/>
  </w:num>
  <w:num w:numId="2">
    <w:abstractNumId w:val="2"/>
  </w:num>
  <w:num w:numId="3">
    <w:abstractNumId w:val="1"/>
  </w:num>
  <w:num w:numId="4">
    <w:abstractNumId w:val="4"/>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3"/>
  <w:embedSystemFonts/>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jVhMjQyMmQxZmNiNDYwYTllZjQxZjNjZWNhZjgzOGMifQ=="/>
  </w:docVars>
  <w:rsids>
    <w:rsidRoot w:val="004015C8"/>
    <w:rsid w:val="0000241C"/>
    <w:rsid w:val="00020A73"/>
    <w:rsid w:val="00032625"/>
    <w:rsid w:val="00050AE3"/>
    <w:rsid w:val="00060D21"/>
    <w:rsid w:val="00096F44"/>
    <w:rsid w:val="000B4E7D"/>
    <w:rsid w:val="000F0635"/>
    <w:rsid w:val="00107454"/>
    <w:rsid w:val="001379F3"/>
    <w:rsid w:val="00170A5D"/>
    <w:rsid w:val="00181483"/>
    <w:rsid w:val="00186F49"/>
    <w:rsid w:val="001D5760"/>
    <w:rsid w:val="0023125C"/>
    <w:rsid w:val="0023769E"/>
    <w:rsid w:val="002C4A00"/>
    <w:rsid w:val="002D126C"/>
    <w:rsid w:val="002D2E5B"/>
    <w:rsid w:val="002F00ED"/>
    <w:rsid w:val="002F1811"/>
    <w:rsid w:val="002F5674"/>
    <w:rsid w:val="0030686B"/>
    <w:rsid w:val="003534FE"/>
    <w:rsid w:val="003D3FCD"/>
    <w:rsid w:val="003F00F1"/>
    <w:rsid w:val="003F74D3"/>
    <w:rsid w:val="004015C8"/>
    <w:rsid w:val="0040524E"/>
    <w:rsid w:val="00437517"/>
    <w:rsid w:val="00447F70"/>
    <w:rsid w:val="00495B91"/>
    <w:rsid w:val="0051455A"/>
    <w:rsid w:val="005221C6"/>
    <w:rsid w:val="0056032F"/>
    <w:rsid w:val="005B40A6"/>
    <w:rsid w:val="005B6E36"/>
    <w:rsid w:val="005D4A77"/>
    <w:rsid w:val="0064776D"/>
    <w:rsid w:val="0065063F"/>
    <w:rsid w:val="00657E6A"/>
    <w:rsid w:val="00686C05"/>
    <w:rsid w:val="006B1D94"/>
    <w:rsid w:val="006F4C00"/>
    <w:rsid w:val="007051AC"/>
    <w:rsid w:val="00715A9D"/>
    <w:rsid w:val="00747484"/>
    <w:rsid w:val="00762F7D"/>
    <w:rsid w:val="0077068E"/>
    <w:rsid w:val="00784E1F"/>
    <w:rsid w:val="00795FA6"/>
    <w:rsid w:val="0081324F"/>
    <w:rsid w:val="0082417A"/>
    <w:rsid w:val="00830D13"/>
    <w:rsid w:val="00870B88"/>
    <w:rsid w:val="008720FF"/>
    <w:rsid w:val="008A6D9C"/>
    <w:rsid w:val="008B2EFB"/>
    <w:rsid w:val="008C3FC7"/>
    <w:rsid w:val="009374C7"/>
    <w:rsid w:val="00957AE3"/>
    <w:rsid w:val="00962CCE"/>
    <w:rsid w:val="00985E44"/>
    <w:rsid w:val="009907EF"/>
    <w:rsid w:val="009E034E"/>
    <w:rsid w:val="009F1FF5"/>
    <w:rsid w:val="00A07FC3"/>
    <w:rsid w:val="00A2179B"/>
    <w:rsid w:val="00A2364C"/>
    <w:rsid w:val="00A33503"/>
    <w:rsid w:val="00A33F31"/>
    <w:rsid w:val="00AA4E05"/>
    <w:rsid w:val="00AD178B"/>
    <w:rsid w:val="00AD4F65"/>
    <w:rsid w:val="00B06FB3"/>
    <w:rsid w:val="00B1405D"/>
    <w:rsid w:val="00B34FD9"/>
    <w:rsid w:val="00B8013A"/>
    <w:rsid w:val="00BB1A6D"/>
    <w:rsid w:val="00BD1CBF"/>
    <w:rsid w:val="00BE743C"/>
    <w:rsid w:val="00BF6DE0"/>
    <w:rsid w:val="00C0611D"/>
    <w:rsid w:val="00C123D3"/>
    <w:rsid w:val="00C132EC"/>
    <w:rsid w:val="00C27F8C"/>
    <w:rsid w:val="00CC005D"/>
    <w:rsid w:val="00CC493D"/>
    <w:rsid w:val="00D004F3"/>
    <w:rsid w:val="00D27CBB"/>
    <w:rsid w:val="00D34F88"/>
    <w:rsid w:val="00D80948"/>
    <w:rsid w:val="00DF75E3"/>
    <w:rsid w:val="00DF7FF1"/>
    <w:rsid w:val="00E8613F"/>
    <w:rsid w:val="00EA5410"/>
    <w:rsid w:val="00F15A9A"/>
    <w:rsid w:val="00F25A93"/>
    <w:rsid w:val="00F307D0"/>
    <w:rsid w:val="00F64A59"/>
    <w:rsid w:val="00F77276"/>
    <w:rsid w:val="00FB36F7"/>
    <w:rsid w:val="00FE02EB"/>
    <w:rsid w:val="00FE0D70"/>
    <w:rsid w:val="026E3C7E"/>
    <w:rsid w:val="029B1DC6"/>
    <w:rsid w:val="060303DE"/>
    <w:rsid w:val="0765162A"/>
    <w:rsid w:val="0A7F7F97"/>
    <w:rsid w:val="0C4B09E8"/>
    <w:rsid w:val="0C4E3858"/>
    <w:rsid w:val="0D0436B8"/>
    <w:rsid w:val="0D5056AB"/>
    <w:rsid w:val="128F634E"/>
    <w:rsid w:val="136779DA"/>
    <w:rsid w:val="13F732D9"/>
    <w:rsid w:val="14276E6A"/>
    <w:rsid w:val="16C521DF"/>
    <w:rsid w:val="17361E8E"/>
    <w:rsid w:val="175D340E"/>
    <w:rsid w:val="177E3F9B"/>
    <w:rsid w:val="19AD044D"/>
    <w:rsid w:val="1B1F4E7E"/>
    <w:rsid w:val="1D5D6C5C"/>
    <w:rsid w:val="1F1F369F"/>
    <w:rsid w:val="222A5720"/>
    <w:rsid w:val="231D2ABA"/>
    <w:rsid w:val="263E12FE"/>
    <w:rsid w:val="26A227FE"/>
    <w:rsid w:val="27124056"/>
    <w:rsid w:val="2B0F54D7"/>
    <w:rsid w:val="2CD459BF"/>
    <w:rsid w:val="2E040F37"/>
    <w:rsid w:val="30C85944"/>
    <w:rsid w:val="33953AD8"/>
    <w:rsid w:val="353A2715"/>
    <w:rsid w:val="358273F5"/>
    <w:rsid w:val="36AA7717"/>
    <w:rsid w:val="3AE60814"/>
    <w:rsid w:val="3AE72720"/>
    <w:rsid w:val="3CC20BD4"/>
    <w:rsid w:val="403B4BD0"/>
    <w:rsid w:val="405E79EF"/>
    <w:rsid w:val="4752635D"/>
    <w:rsid w:val="4AB12B4E"/>
    <w:rsid w:val="4AB66908"/>
    <w:rsid w:val="4BB004C3"/>
    <w:rsid w:val="4C672F7F"/>
    <w:rsid w:val="4D9C5FC6"/>
    <w:rsid w:val="4FC43323"/>
    <w:rsid w:val="52881663"/>
    <w:rsid w:val="52B64834"/>
    <w:rsid w:val="5510646B"/>
    <w:rsid w:val="5ADE798F"/>
    <w:rsid w:val="5BB60E5B"/>
    <w:rsid w:val="5D745C7D"/>
    <w:rsid w:val="5F9D102F"/>
    <w:rsid w:val="622A2528"/>
    <w:rsid w:val="62EC4C13"/>
    <w:rsid w:val="63CE3274"/>
    <w:rsid w:val="64EA33D4"/>
    <w:rsid w:val="65645711"/>
    <w:rsid w:val="69CC4E56"/>
    <w:rsid w:val="6AF9611F"/>
    <w:rsid w:val="6D51565A"/>
    <w:rsid w:val="6E922423"/>
    <w:rsid w:val="716D6F42"/>
    <w:rsid w:val="72C5725D"/>
    <w:rsid w:val="736A5E0C"/>
    <w:rsid w:val="73894657"/>
    <w:rsid w:val="73D634A1"/>
    <w:rsid w:val="7440273B"/>
    <w:rsid w:val="74524B11"/>
    <w:rsid w:val="76D553A7"/>
    <w:rsid w:val="76DA77D0"/>
    <w:rsid w:val="78383202"/>
    <w:rsid w:val="7A1E3167"/>
    <w:rsid w:val="7B852E3A"/>
    <w:rsid w:val="7C5B27B1"/>
    <w:rsid w:val="7CD148CD"/>
    <w:rsid w:val="7E7F116A"/>
    <w:rsid w:val="7F7360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qFormat/>
    <w:uiPriority w:val="0"/>
    <w:rPr>
      <w:color w:val="0000FF"/>
      <w:u w:val="single"/>
    </w:rPr>
  </w:style>
  <w:style w:type="paragraph" w:styleId="8">
    <w:name w:val="List Paragraph"/>
    <w:basedOn w:val="1"/>
    <w:qFormat/>
    <w:uiPriority w:val="34"/>
    <w:pPr>
      <w:ind w:firstLine="420" w:firstLineChars="200"/>
    </w:pPr>
    <w:rPr>
      <w:rFonts w:ascii="Times New Roman" w:hAnsi="Times New Roman" w:eastAsia="宋体" w:cs="Times New Roman"/>
      <w:sz w:val="24"/>
    </w:rPr>
  </w:style>
  <w:style w:type="character" w:customStyle="1" w:styleId="9">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1112</Words>
  <Characters>1211</Characters>
  <Lines>10</Lines>
  <Paragraphs>2</Paragraphs>
  <TotalTime>44</TotalTime>
  <ScaleCrop>false</ScaleCrop>
  <LinksUpToDate>false</LinksUpToDate>
  <CharactersWithSpaces>1230</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2021-09-02T04:16:00Z</dcterms:created>
  <dc:creator>LH</dc:creator>
  <cp:lastModifiedBy>齐自元</cp:lastModifiedBy>
  <dcterms:modified xsi:type="dcterms:W3CDTF">2025-09-16T00:13:43Z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F8C668EF8A8046B6AC160B5F9337412E_13</vt:lpwstr>
  </property>
  <property fmtid="{D5CDD505-2E9C-101B-9397-08002B2CF9AE}" pid="4" name="KSOTemplateDocerSaveRecord">
    <vt:lpwstr>eyJoZGlkIjoiMjM1YjRmYmU2YTIzZTZiOTA2M2E5MjU4YjZhYzA3M2IiLCJ1c2VySWQiOiI3MTc1OTA4MjYifQ==</vt:lpwstr>
  </property>
</Properties>
</file>